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过秦论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1导学案</w:t>
      </w:r>
    </w:p>
    <w:p>
      <w:pPr>
        <w:pStyle w:val="5"/>
        <w:numPr>
          <w:ilvl w:val="0"/>
          <w:numId w:val="1"/>
        </w:numPr>
        <w:spacing w:before="312" w:after="312"/>
        <w:ind w:firstLine="0"/>
        <w:rPr>
          <w:rStyle w:val="6"/>
          <w:rFonts w:ascii="宋体" w:hAnsi="宋体" w:cs="宋体"/>
        </w:rPr>
      </w:pPr>
      <w:r>
        <w:rPr>
          <w:rStyle w:val="6"/>
          <w:rFonts w:ascii="宋体" w:hAnsi="宋体" w:cs="宋体"/>
        </w:rPr>
        <w:t>导入新课</w:t>
      </w:r>
    </w:p>
    <w:p>
      <w:pPr>
        <w:jc w:val="both"/>
        <w:rPr>
          <w:rStyle w:val="6"/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自然界中有“弱肉强食”的法则，而这条法则在人类社会中时常被打破。两千多年前，秦朝国力不可一世，但一场农民起义就打破了开国者“子孙帝王万世之业也”的梦想，这其中的原因是什么？</w:t>
      </w:r>
    </w:p>
    <w:p>
      <w:pPr>
        <w:jc w:val="both"/>
        <w:rPr>
          <w:rStyle w:val="6"/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二、知作者</w:t>
      </w:r>
    </w:p>
    <w:p>
      <w:pPr>
        <w:jc w:val="both"/>
        <w:rPr>
          <w:rStyle w:val="6"/>
          <w:rFonts w:hint="eastAsia" w:ascii="宋体" w:hAnsi="宋体" w:cs="宋体" w:eastAsia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cs="宋体" w:eastAsia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贾谊（前200-前168），世称贾太傅、贾长沙、贾生。洛阳（今河南洛阳东）人。西汉杰出的政论家、文学家。</w:t>
      </w:r>
    </w:p>
    <w:p>
      <w:pPr>
        <w:jc w:val="both"/>
        <w:rPr>
          <w:rStyle w:val="6"/>
          <w:rFonts w:hint="eastAsia" w:ascii="宋体" w:hAnsi="宋体" w:cs="宋体" w:eastAsia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cs="宋体" w:eastAsia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18岁时以文才显名，20岁被汉文帝刘恒召为博士，不久迁太中大夫，参与政事，颇受倚重。后因提议改革政治，遭权贵嫉妒、毁谤，贬为长沙王太傅。转任梁怀王太傅。梁怀王坠马而死，他“自伤为傅无状”，一年后也忧郁而死，年仅33岁。</w:t>
      </w:r>
    </w:p>
    <w:p>
      <w:pPr>
        <w:jc w:val="both"/>
        <w:rPr>
          <w:rStyle w:val="6"/>
          <w:rFonts w:hint="eastAsia" w:ascii="宋体" w:hAnsi="宋体" w:cs="宋体" w:eastAsia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cs="宋体" w:eastAsia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司马迁对屈原、贾谊都寄予深深的同情，在《史记》中为二人写了一篇合传，后世因而把贾谊与屈原并称“屈贾”。</w:t>
      </w:r>
    </w:p>
    <w:p>
      <w:pPr>
        <w:ind w:firstLine="420"/>
        <w:jc w:val="both"/>
        <w:rPr>
          <w:rStyle w:val="6"/>
          <w:rFonts w:hint="eastAsia" w:ascii="宋体" w:hAnsi="宋体" w:cs="宋体" w:eastAsia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cs="宋体" w:eastAsiaTheme="minor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贾谊主要著作有散文和辞赋两类。散文的主要成就是政论文，评论时政，风格朴实峻拔，议论酣畅，代表了汉初政论散文的最高成就。”，代表作有《论积贮疏》《陈政事疏》《过秦论》等 。其辞赋皆为骚体，形式趋于散文化，是汉赋发展的先声，以《吊屈原赋》《鹏鸟赋》最为著名。</w:t>
      </w:r>
    </w:p>
    <w:p>
      <w:pPr>
        <w:numPr>
          <w:ilvl w:val="0"/>
          <w:numId w:val="0"/>
        </w:numPr>
        <w:ind w:leftChars="0"/>
        <w:jc w:val="both"/>
        <w:rPr>
          <w:rStyle w:val="6"/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三、注音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崤函（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）          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膏腴（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）       合从 (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)              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逡巡（ 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）   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隳名城（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）      销锋镝（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）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瓮牖（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） 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甿隶（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）   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猗顿（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）                                     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作难（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）          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窥视（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）        万乘（ </w:t>
      </w:r>
      <w:r>
        <w:rPr>
          <w:rFonts w:hint="eastAsia" w:hAnsi="宋体" w:cs="宋体"/>
          <w:b w:val="0"/>
          <w:bCs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）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lang w:val="en-US" w:eastAsia="zh-CN"/>
        </w:rPr>
        <w:t>四.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通读文本，明确文章基本结构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lang w:val="en-US" w:eastAsia="zh-CN"/>
        </w:rPr>
        <w:t>第一部分（1—4段）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 w:val="0"/>
          <w:bCs w:val="0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lang w:val="en-US" w:eastAsia="zh-CN"/>
        </w:rPr>
        <w:t>第1段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 w:val="0"/>
          <w:bCs w:val="0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lang w:val="en-US" w:eastAsia="zh-CN"/>
        </w:rPr>
        <w:t>第2段。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 w:val="0"/>
          <w:bCs w:val="0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lang w:val="en-US" w:eastAsia="zh-CN"/>
        </w:rPr>
        <w:t>第3段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 w:val="0"/>
          <w:bCs w:val="0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lang w:val="en-US" w:eastAsia="zh-CN"/>
        </w:rPr>
        <w:t>第4段</w:t>
      </w:r>
    </w:p>
    <w:p>
      <w:pPr>
        <w:spacing w:line="360" w:lineRule="auto"/>
        <w:jc w:val="left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lang w:val="en-US" w:eastAsia="zh-CN"/>
        </w:rPr>
        <w:t>第二部分（5段）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</w:t>
      </w:r>
    </w:p>
    <w:p>
      <w:pPr>
        <w:spacing w:line="360" w:lineRule="auto"/>
        <w:jc w:val="left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>五、找出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特殊句式</w:t>
      </w: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（1）判断句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找出文中句式：</w:t>
      </w:r>
      <w:r>
        <w:rPr>
          <w:rFonts w:hint="eastAsia" w:ascii="楷体" w:hAnsi="楷体" w:eastAsia="楷体" w:cs="Times New Roman"/>
        </w:rPr>
        <w:t>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判断句的判断方法：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翻译为“是”或“不是”的字句</w:t>
      </w:r>
    </w:p>
    <w:p>
      <w:pPr>
        <w:pStyle w:val="2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判断句的判断标志：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“……者……也”“……者，……”“……，……也”</w:t>
      </w: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（2）被动句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找出文中句式：</w:t>
      </w:r>
      <w:r>
        <w:rPr>
          <w:rFonts w:hint="eastAsia" w:ascii="楷体" w:hAnsi="楷体" w:eastAsia="楷体" w:cs="Times New Roman"/>
        </w:rPr>
        <w:t>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被动句的判断方法：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主语是谓语动词所表示行为的被动者。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被动句的判断标志：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“被”“为”“见”“于”“为……所……”</w:t>
      </w: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（3）宾语前置句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找出文中句式：</w:t>
      </w:r>
      <w:r>
        <w:rPr>
          <w:rFonts w:hint="eastAsia" w:ascii="楷体" w:hAnsi="楷体" w:eastAsia="楷体" w:cs="Times New Roman"/>
        </w:rPr>
        <w:t>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宾语前置句的判断方法：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可通过句意、语法结构、标志性词语等综合分析。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宾语前置句的判断标志：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“以”“为”</w:t>
      </w: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（4）介词结构后置句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找出文中句式：</w:t>
      </w:r>
      <w:r>
        <w:rPr>
          <w:rFonts w:hint="eastAsia" w:ascii="楷体" w:hAnsi="楷体" w:eastAsia="楷体" w:cs="Times New Roman"/>
        </w:rPr>
        <w:t>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                                                          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介词结构后置句的判断方法：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重点分析中心语和修辞语之间的关系。</w:t>
      </w:r>
    </w:p>
    <w:p>
      <w:pPr>
        <w:pStyle w:val="2"/>
        <w:spacing w:line="360" w:lineRule="auto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介词结构后置句的判断标志：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“于”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六、梳理出词类活用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尽归汉使路充国等   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用法：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</w:t>
      </w: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宜皆降之    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用法：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反欲斗两主  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用法：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杖汉节牧羊    </w:t>
      </w: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用法：</w:t>
      </w:r>
      <w:r>
        <w:rPr>
          <w:rFonts w:hint="eastAsia" w:ascii="Times New Roman" w:hAnsi="Times New Roman" w:eastAsia="楷体" w:cs="Times New Roman"/>
          <w:szCs w:val="21"/>
          <w:u w:val="dash"/>
          <w:lang w:val="en-US" w:eastAsia="zh-CN"/>
        </w:rPr>
        <w:t xml:space="preserve">                                </w:t>
      </w:r>
    </w:p>
    <w:p>
      <w:pPr>
        <w:numPr>
          <w:ilvl w:val="0"/>
          <w:numId w:val="0"/>
        </w:numPr>
        <w:ind w:leftChars="0"/>
        <w:jc w:val="both"/>
        <w:rPr>
          <w:rStyle w:val="6"/>
          <w:rFonts w:hint="default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Cs w:val="21"/>
          <w:lang w:val="en-US" w:eastAsia="zh-CN"/>
        </w:rPr>
        <w:t>1.基本字音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>崤函（ xiáo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 xml:space="preserve">）           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 xml:space="preserve">膏腴（ gāo ）       合从 ( zòng )              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 xml:space="preserve">逡巡（  qūn 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>xún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 xml:space="preserve">）    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>隳名城（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>huī）      销锋镝（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>dí ）</w:t>
      </w:r>
    </w:p>
    <w:p>
      <w:pPr>
        <w:pStyle w:val="2"/>
        <w:spacing w:line="360" w:lineRule="auto"/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 xml:space="preserve">瓮牖（ wèng yǒu ）  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 xml:space="preserve">甿隶（ méng ）    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>猗顿（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 xml:space="preserve">yī ）                                     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>作难（ nàn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 xml:space="preserve">）           </w:t>
      </w:r>
      <w:r>
        <w:rPr>
          <w:rFonts w:hint="eastAsia" w:hAnsi="宋体" w:cs="宋体"/>
          <w:b w:val="0"/>
          <w:bCs/>
          <w:color w:val="FF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lang w:val="en-US" w:eastAsia="zh-CN"/>
        </w:rPr>
        <w:t>窥视（ kuī）        万乘（ shèng  ）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</w:pP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b/>
          <w:bCs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通读文本，明确文章基本结构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  <w:t>第一部分（1—4段）叙述秦王朝的兴亡。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 w:val="0"/>
          <w:bCs w:val="0"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color w:val="FF0000"/>
          <w:lang w:val="en-US" w:eastAsia="zh-CN"/>
        </w:rPr>
        <w:t>第1段写秦国势力的崛起。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 w:val="0"/>
          <w:bCs w:val="0"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color w:val="FF0000"/>
          <w:lang w:val="en-US" w:eastAsia="zh-CN"/>
        </w:rPr>
        <w:t>第2段写秦国势力的进一步发展。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 w:val="0"/>
          <w:bCs w:val="0"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color w:val="FF0000"/>
          <w:lang w:val="en-US" w:eastAsia="zh-CN"/>
        </w:rPr>
        <w:t>第3段写秦王统一天下。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 w:val="0"/>
          <w:bCs w:val="0"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 w:val="0"/>
          <w:bCs w:val="0"/>
          <w:color w:val="FF0000"/>
          <w:lang w:val="en-US" w:eastAsia="zh-CN"/>
        </w:rPr>
        <w:t>第4段写陈涉起义和秦王朝的覆灭。</w:t>
      </w:r>
    </w:p>
    <w:p>
      <w:pPr>
        <w:spacing w:line="360" w:lineRule="auto"/>
        <w:jc w:val="left"/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color w:val="FF0000"/>
          <w:lang w:val="en-US" w:eastAsia="zh-CN"/>
        </w:rPr>
        <w:t>第二部分（5段）阐述秦王朝迅速灭亡的原因。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1.特殊句式</w:t>
      </w: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（1）判断句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文中句式：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 xml:space="preserve">子孙帝王万世之业也    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color w:val="FF0000"/>
          <w:lang w:val="en-US" w:eastAsia="zh-CN"/>
        </w:rPr>
        <w:t>仁义不施而攻守之势异也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判断句的判断方法：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翻译为“是”或“不是”的字句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判断句的判断标志：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“……者……也”“……者，……”“……，……也”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（2）被动句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文中句式：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一夫作难而七庙隳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color w:val="FF0000"/>
          <w:lang w:val="en-US" w:eastAsia="zh-CN"/>
        </w:rPr>
        <w:t>身死人手，为天下笑者</w:t>
      </w:r>
    </w:p>
    <w:p>
      <w:pPr>
        <w:pStyle w:val="2"/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被动句的判断方法：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主语是谓语动词所表示行为的被动者。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被动句的判断标志：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“被”“为”“见”“于”“为……所……”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（3）宾语前置句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文中句式：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信臣精卒陈利兵而谁何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color w:val="FF0000"/>
          <w:lang w:val="en-US" w:eastAsia="zh-CN"/>
        </w:rPr>
        <w:t>崤函之固，自若也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</w:rPr>
      </w:pPr>
      <w:r>
        <w:rPr>
          <w:rFonts w:hint="eastAsia" w:ascii="Times New Roman" w:hAnsi="Times New Roman" w:cs="Times New Roman"/>
          <w:b/>
          <w:bCs/>
          <w:color w:val="FF0000"/>
        </w:rPr>
        <w:t>宾语前置句的判断方法：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可通过句意、语法结构、标志性词语等综合分析。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</w:rPr>
      </w:pPr>
      <w:r>
        <w:rPr>
          <w:rFonts w:hint="eastAsia" w:ascii="Times New Roman" w:hAnsi="Times New Roman" w:cs="Times New Roman"/>
          <w:b/>
          <w:bCs/>
          <w:color w:val="FF0000"/>
        </w:rPr>
        <w:t>宾语前置句的判断标志：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“以”“为”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</w:p>
    <w:p>
      <w:pPr>
        <w:pStyle w:val="2"/>
        <w:spacing w:line="360" w:lineRule="auto"/>
        <w:rPr>
          <w:rFonts w:hint="default" w:ascii="Times New Roman" w:hAnsi="Times New Roman" w:cs="Times New Roman"/>
          <w:b/>
          <w:bCs/>
          <w:color w:val="FF0000"/>
          <w:lang w:val="en-US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（4）介词结构后置句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文中句式：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锄耰棘矜,非铦于钩戟长铩也    谪戍之众，非抗于九国之师也</w:t>
      </w:r>
    </w:p>
    <w:p>
      <w:pPr>
        <w:pStyle w:val="2"/>
        <w:numPr>
          <w:ilvl w:val="0"/>
          <w:numId w:val="0"/>
        </w:numPr>
        <w:spacing w:line="360" w:lineRule="auto"/>
        <w:rPr>
          <w:rFonts w:hint="eastAsia" w:ascii="楷体" w:hAnsi="楷体" w:eastAsia="楷体" w:cs="Times New Roman"/>
          <w:color w:val="FF0000"/>
          <w:lang w:val="en-US" w:eastAsia="zh-CN"/>
        </w:rPr>
      </w:pPr>
      <w:r>
        <w:rPr>
          <w:rFonts w:hint="eastAsia" w:ascii="楷体" w:hAnsi="楷体" w:eastAsia="楷体" w:cs="Times New Roman"/>
          <w:color w:val="FF0000"/>
          <w:lang w:val="en-US" w:eastAsia="zh-CN"/>
        </w:rPr>
        <w:t>余威震于殊俗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</w:rPr>
      </w:pPr>
      <w:r>
        <w:rPr>
          <w:rFonts w:hint="eastAsia" w:ascii="Times New Roman" w:hAnsi="Times New Roman" w:cs="Times New Roman"/>
          <w:b/>
          <w:bCs/>
          <w:color w:val="FF0000"/>
        </w:rPr>
        <w:t>介词结构后置句的判断方法：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重点分析中心语和修辞语之间的关系。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</w:rPr>
      </w:pPr>
      <w:r>
        <w:rPr>
          <w:rFonts w:hint="eastAsia" w:ascii="Times New Roman" w:hAnsi="Times New Roman" w:cs="Times New Roman"/>
          <w:b/>
          <w:bCs/>
          <w:color w:val="FF0000"/>
        </w:rPr>
        <w:t>介词结构后置句的判断标志：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“于”</w:t>
      </w:r>
    </w:p>
    <w:p>
      <w:pPr>
        <w:pStyle w:val="2"/>
        <w:spacing w:line="360" w:lineRule="auto"/>
        <w:rPr>
          <w:rFonts w:ascii="Times New Roman" w:hAnsi="Times New Roman" w:cs="Times New Roman"/>
          <w:b/>
          <w:bCs/>
          <w:color w:val="FF0000"/>
        </w:rPr>
      </w:pP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ascii="Times New Roman" w:hAnsi="Times New Roman" w:cs="Times New Roman"/>
          <w:b/>
          <w:bCs/>
          <w:color w:val="FF0000"/>
        </w:rPr>
        <w:t>2.</w:t>
      </w: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词类活用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 xml:space="preserve">外连横而斗诸侯           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使动用法，使…争斗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 xml:space="preserve">却匈奴七百余里           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使动用法，使退却，击退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 xml:space="preserve">子孙帝王万世之业也       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名词用作动词，做帝王</w:t>
      </w:r>
    </w:p>
    <w:p>
      <w:pPr>
        <w:pStyle w:val="2"/>
        <w:spacing w:line="360" w:lineRule="auto"/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 xml:space="preserve">赢粮而景从               </w:t>
      </w:r>
      <w:r>
        <w:rPr>
          <w:rFonts w:hint="eastAsia" w:ascii="楷体" w:hAnsi="楷体" w:eastAsia="楷体" w:cs="Times New Roman"/>
          <w:color w:val="FF0000"/>
          <w:lang w:val="en-US" w:eastAsia="zh-CN"/>
        </w:rPr>
        <w:t>名词用作作状语 , 像影子一样</w:t>
      </w:r>
    </w:p>
    <w:p>
      <w:pPr>
        <w:spacing w:line="360" w:lineRule="auto"/>
        <w:jc w:val="both"/>
        <w:rPr>
          <w:rFonts w:ascii="Times New Roman" w:hAnsi="Times New Roman" w:eastAsia="宋体" w:cs="Times New Roman"/>
          <w:b/>
          <w:bCs/>
          <w:color w:val="FF0000"/>
          <w:szCs w:val="21"/>
        </w:rPr>
      </w:pPr>
    </w:p>
    <w:p>
      <w:pPr>
        <w:ind w:firstLine="420"/>
        <w:jc w:val="both"/>
        <w:rPr>
          <w:rStyle w:val="6"/>
          <w:rFonts w:hint="default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A745B"/>
    <w:multiLevelType w:val="singleLevel"/>
    <w:tmpl w:val="B63A745B"/>
    <w:lvl w:ilvl="0" w:tentative="0">
      <w:start w:val="1"/>
      <w:numFmt w:val="chineseCounting"/>
      <w:suff w:val="nothing"/>
      <w:lvlText w:val="%1、"/>
      <w:lvlJc w:val="left"/>
      <w:pPr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E4915"/>
    <w:rsid w:val="23AE6D98"/>
    <w:rsid w:val="40FC0A56"/>
    <w:rsid w:val="767E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5">
    <w:name w:val="Heading4"/>
    <w:qFormat/>
    <w:uiPriority w:val="0"/>
    <w:pPr>
      <w:spacing w:beforeAutospacing="1" w:afterAutospacing="1"/>
      <w:ind w:firstLine="420"/>
      <w:textAlignment w:val="baseline"/>
    </w:pPr>
    <w:rPr>
      <w:rFonts w:ascii="ˎ̥" w:hAnsi="ˎ̥" w:eastAsia="宋体" w:cs="Times New Roman"/>
      <w:b/>
      <w:bCs/>
      <w:color w:val="663333"/>
      <w:sz w:val="21"/>
      <w:szCs w:val="21"/>
      <w:lang w:val="en-US" w:eastAsia="zh-CN" w:bidi="ar-SA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2024-08-29T07:28:00Z</dcterms:created>
  <dc:creator>Administrator</dc:creator>
  <cp:lastModifiedBy>Administrator</cp:lastModifiedBy>
  <dcterms:modified xsi:type="dcterms:W3CDTF">2024-08-29T07:55:04Z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397B9B3CB920435C93082DDDBF8E3EDB</vt:lpwstr>
  </property>
</Properties>
</file>