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2025.2.3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062"/>
        <w:gridCol w:w="2085"/>
        <w:gridCol w:w="255"/>
        <w:gridCol w:w="1559"/>
        <w:gridCol w:w="1651"/>
        <w:gridCol w:w="17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《兰亭集序》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罗建波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语言建构与运用、思维发展与提升、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审美鉴赏与创造、文化传承与理解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掌握文中重要的文言实词、虚词和特殊句式等文言基础知识；积累有关的古代文化常识。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理清文章乐——痛——悲的情感变化及其原因,感受文章叙事、写景、抒情、议论有机交融的特点。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结合背景,深入探究作者“生死观”的可贵之处。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理清文章乐——痛——悲的情感变化及其原因,感受文章叙事、写景、抒情、议论有机交融的特点。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结合背景,深入探究作者“生死观”的可贵之处。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</w:rPr>
              <w:t>精神内涵、审美追求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</w:rPr>
              <w:t>文化价值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掌握文中重要的文言实词、虚词和特殊句式等文言基础知识；积累有关的古代文化常识。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理清文章乐——痛——悲的情感变化及其原因,感受文章叙事、写景、抒情、议论有机交融的特点。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</w:rPr>
              <w:t>结合背景,深入探究作者“生死观”的可贵之处。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诵读全文，找出情感变化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指导学生诵读课文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初读课文，找出每一部分表达情感的赐予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兰亭之会，其情可谓（   ）矣；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兰亭之思，其情可谓（   ）矣；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2"/>
                <w:lang w:val="en-US" w:eastAsia="zh-CN"/>
              </w:rPr>
              <w:t>兰亭之悟，其情可谓（   ）矣；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把握文章写作思路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内容探究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 xml:space="preserve">    在文中，王羲之是怎样解释他与山水之间的关系，表达他对自然的感受的？这是不是人生的“真乐”？</w:t>
            </w:r>
          </w:p>
        </w:tc>
        <w:tc>
          <w:tcPr>
            <w:tcW w:w="346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探究“乐之由”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1、一觞一咏，亦足以畅叙幽情。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 xml:space="preserve">2、仰观宇宙之大，俯察品类之盛，所以游目骋怀，足以极视听之娱，  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 xml:space="preserve">   信可乐也。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视、听之乐只是文人雅士追求的感官之乐。这种快乐是短暂的，肤浅的、瞬间的、简单的。</w:t>
            </w:r>
          </w:p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体会作者真切的情感；体会文章写景抒情的特点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乐--痛--悲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DE2OGQ5NDZhNmU3NTUyNzFhMDNmMzNmZWM5NT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E26BAB"/>
    <w:rsid w:val="0BD1659D"/>
    <w:rsid w:val="2F7013AD"/>
    <w:rsid w:val="34880850"/>
    <w:rsid w:val="38C51EFE"/>
    <w:rsid w:val="3B605478"/>
    <w:rsid w:val="48276F9D"/>
    <w:rsid w:val="4FF7113B"/>
    <w:rsid w:val="51865D1F"/>
    <w:rsid w:val="5252566E"/>
    <w:rsid w:val="5440388A"/>
    <w:rsid w:val="579750E2"/>
    <w:rsid w:val="713770F2"/>
    <w:rsid w:val="765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10</TotalTime>
  <ScaleCrop>false</ScaleCrop>
  <LinksUpToDate>false</LinksUpToDate>
  <CharactersWithSpaces>377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2025-02-11T14:14:07Z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7763DB557FD94E9A968E25C6BE7B8A4E_13</vt:lpwstr>
  </property>
</Properties>
</file>