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14B71"/>
    <w:p w14:paraId="6DA3BB6E"/>
    <w:p w14:paraId="77915A24"/>
    <w:p w14:paraId="51B54F74"/>
    <w:p w14:paraId="71543CF8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9BC4107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644B82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59C97A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3D5158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9EF7FA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86BC14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高中数学</w:t>
            </w:r>
          </w:p>
        </w:tc>
      </w:tr>
      <w:tr w14:paraId="6BD81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1F4B15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81CE704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9.3统计案例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083398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FBCAB2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603EC7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508765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BF0E5D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李黎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EBE800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D6F332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41C13F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53FF30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750F2C8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57CE7E6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通过经历提出问题—</w:t>
            </w:r>
            <w:r>
              <w:rPr>
                <w:rFonts w:hint="eastAsia"/>
                <w:lang w:val="en-US" w:eastAsia="zh-CN"/>
              </w:rPr>
              <w:t>收集数据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分析数据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  <w:lang w:val="en-US" w:eastAsia="zh-CN"/>
              </w:rPr>
              <w:t>得出结论</w:t>
            </w:r>
            <w:r>
              <w:rPr>
                <w:rFonts w:hint="eastAsia"/>
              </w:rPr>
              <w:t>—练习巩固</w:t>
            </w:r>
            <w:r>
              <w:rPr>
                <w:rFonts w:hint="eastAsia"/>
                <w:lang w:val="en-US" w:eastAsia="zh-CN"/>
              </w:rPr>
              <w:t>的过程，培养了同学们数据分析的核心素养培养。</w:t>
            </w:r>
          </w:p>
        </w:tc>
      </w:tr>
      <w:tr w14:paraId="6FD1AB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6631FA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5BAD4A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3C95CE2">
            <w:pPr>
              <w:adjustRightInd w:val="0"/>
              <w:spacing w:line="380" w:lineRule="exact"/>
              <w:textAlignment w:val="baseline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掌握数据收集、整理、描述和分析的基本方法</w:t>
            </w:r>
          </w:p>
        </w:tc>
      </w:tr>
      <w:tr w14:paraId="323782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F818EB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8B55ABD">
            <w:pPr>
              <w:adjustRightInd w:val="0"/>
              <w:spacing w:line="380" w:lineRule="exact"/>
              <w:textAlignment w:val="baseline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通过真实案例，体验完整的统计流程：提出问题-收集数据-整理分析-得出结论</w:t>
            </w:r>
          </w:p>
        </w:tc>
      </w:tr>
      <w:tr w14:paraId="0AA897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3A6761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A25B83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认识肥胖问题的社会意义，形成健康生活的意识</w:t>
            </w:r>
          </w:p>
        </w:tc>
      </w:tr>
      <w:tr w14:paraId="7BD079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86862B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7BD8E3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342288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数据整理与分析的方法（如分层抽样、统计图表绘制、BMI计算）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46BA0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FC1FD5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4C9CB8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从数据中挖掘有效信息，提出合理建议；理解统计结论的局限性。</w:t>
            </w:r>
          </w:p>
        </w:tc>
      </w:tr>
      <w:tr w14:paraId="2CD00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31ECD6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25B1F8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9922E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讨论数据背后的社会因素</w:t>
            </w:r>
            <w:r>
              <w:rPr>
                <w:rFonts w:hint="eastAsia"/>
              </w:rPr>
              <w:t>；</w:t>
            </w:r>
          </w:p>
        </w:tc>
      </w:tr>
      <w:tr w14:paraId="0E3F60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6D7D5AF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B306F9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7B84332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学会用统计图表和统计量分析实际问题</w:t>
            </w:r>
          </w:p>
        </w:tc>
      </w:tr>
      <w:tr w14:paraId="3C988C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8E8EE8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A5E25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培养用数据解释现象、提出建议的能力</w:t>
            </w:r>
            <w:r>
              <w:rPr>
                <w:rFonts w:hint="eastAsia"/>
              </w:rPr>
              <w:t>.</w:t>
            </w:r>
          </w:p>
        </w:tc>
      </w:tr>
      <w:tr w14:paraId="19B332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E13066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3617854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体会统计学的应用价值，增强数据分析兴趣</w:t>
            </w:r>
          </w:p>
        </w:tc>
      </w:tr>
      <w:tr w14:paraId="471A4C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5BDE17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73198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109F60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AD6E4DF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16B774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F6716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AA5114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A7AE7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0AB627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9DBA3DF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导入新课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3541A6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播放短视频：肥胖引发的健康问题（如糖尿病、心血管疾病）</w:t>
            </w:r>
          </w:p>
          <w:p w14:paraId="14C19449">
            <w:pPr>
              <w:widowControl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提出问题：如何通过统计学分析公司员工的肥胖情况？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D0A33E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学生思考问题，引出本节新课内容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1D0D8B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设置问题情境，激发学生学习兴趣，并引出本节新课</w:t>
            </w:r>
          </w:p>
        </w:tc>
      </w:tr>
      <w:tr w14:paraId="1F27D4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099481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898B0A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</w:rPr>
              <w:t>讲授新课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B809C99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数据收集与整理</w:t>
            </w:r>
          </w:p>
          <w:p w14:paraId="6B297C58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1：设计调查问卷</w:t>
            </w:r>
          </w:p>
          <w:p w14:paraId="71FA2BDD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2：模拟分层抽样</w:t>
            </w:r>
          </w:p>
          <w:p w14:paraId="431CBF8D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3：计算BMI值并分类</w:t>
            </w:r>
          </w:p>
          <w:p w14:paraId="431293F9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数据分析</w:t>
            </w:r>
          </w:p>
          <w:p w14:paraId="21915480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4：用Excel/手工绘制图表</w:t>
            </w:r>
          </w:p>
          <w:p w14:paraId="3EAF1ACF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5：计算关键统计量并解释含义</w:t>
            </w:r>
          </w:p>
          <w:p w14:paraId="5EC48A0C">
            <w:pPr>
              <w:widowControl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讨论：哪些岗位肥胖率高？可能原因是什么？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AAC0CF6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学生</w:t>
            </w:r>
            <w:r>
              <w:rPr>
                <w:rFonts w:hint="eastAsia" w:ascii="宋体" w:hAnsi="宋体"/>
                <w:lang w:val="en-US" w:eastAsia="zh-CN"/>
              </w:rPr>
              <w:t>们收集数据并分析数据</w:t>
            </w:r>
            <w:r>
              <w:rPr>
                <w:rFonts w:hint="eastAsia" w:ascii="宋体" w:hAnsi="宋体"/>
              </w:rPr>
              <w:t>。</w:t>
            </w:r>
          </w:p>
          <w:p w14:paraId="2355A8B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92BAFEF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培养学生探索的精神.</w:t>
            </w:r>
          </w:p>
          <w:p w14:paraId="58AB89E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CFB5E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0448E1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C395B6E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课堂小结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BBB3DE">
            <w:pPr>
              <w:pStyle w:val="5"/>
              <w:numPr>
                <w:numId w:val="0"/>
              </w:numPr>
              <w:spacing w:before="86" w:line="240" w:lineRule="atLeas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统计结论的局限性（如样本量、数据真实性）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9309F5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分组汇报：数据分析结果与健康管理建议（如增设健身房、调整食堂菜单）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29C41E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让学生</w:t>
            </w:r>
            <w:r>
              <w:rPr>
                <w:rFonts w:hint="eastAsia"/>
                <w:lang w:val="en-US" w:eastAsia="zh-CN"/>
              </w:rPr>
              <w:t>学会运用数据解决实际问题</w:t>
            </w:r>
            <w:r>
              <w:rPr>
                <w:rFonts w:hint="eastAsia"/>
              </w:rPr>
              <w:t>。</w:t>
            </w:r>
          </w:p>
        </w:tc>
      </w:tr>
      <w:tr w14:paraId="44A238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2F7F56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776BDB8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EC4507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5CC6B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617931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9496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320B4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37BF547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7B8AA3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基础题：整理课堂数据并撰写简要报告。</w:t>
            </w:r>
          </w:p>
          <w:p w14:paraId="7F5FC078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拓展题：调查本校学生BMI情况，对比分析。</w:t>
            </w:r>
          </w:p>
        </w:tc>
      </w:tr>
      <w:tr w14:paraId="21F34F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26B798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3879FC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95C83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§</w:t>
            </w:r>
            <w:r>
              <w:rPr>
                <w:rFonts w:hint="eastAsia"/>
                <w:lang w:val="en-US" w:eastAsia="zh-CN"/>
              </w:rPr>
              <w:t>9.3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统计案例</w:t>
            </w:r>
          </w:p>
          <w:p w14:paraId="2E3E78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一、情境导入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数据分析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三、课堂小结</w:t>
            </w:r>
          </w:p>
          <w:p w14:paraId="6CBA30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二、探索新知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  <w:lang w:val="en-US" w:eastAsia="zh-CN"/>
              </w:rPr>
              <w:t>结论与建议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四、作业布置</w:t>
            </w:r>
          </w:p>
          <w:p w14:paraId="4447739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数据收集与整理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</w:p>
        </w:tc>
      </w:tr>
      <w:tr w14:paraId="5F8310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7B36DC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EF9AD9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4D160B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C7E6A99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ZWYzZDUyNDVhMmZiYWRjYjJhNTc2MjY2M2Q5NWQ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5E93EF5"/>
    <w:rsid w:val="327E6193"/>
    <w:rsid w:val="32CB1343"/>
    <w:rsid w:val="34880850"/>
    <w:rsid w:val="5252566E"/>
    <w:rsid w:val="603D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2036</Words>
  <Characters>2135</Characters>
  <Lines>2</Lines>
  <Paragraphs>1</Paragraphs>
  <TotalTime>76</TotalTime>
  <ScaleCrop>false</ScaleCrop>
  <LinksUpToDate>false</LinksUpToDate>
  <CharactersWithSpaces>2377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ism</cp:lastModifiedBy>
  <cp:lastPrinted>2023-10-12T02:38:00Z</cp:lastPrinted>
  <dcterms:modified xsi:type="dcterms:W3CDTF">2025-03-19T03:20:42Z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8447519197A140F3896744E025FA6390_13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