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 w:hAnsi="宋体" w:eastAsia="宋体" w:cs="Courier New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eastAsia="宋体" w:cs="Courier New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10756900</wp:posOffset>
            </wp:positionH>
            <wp:positionV relativeFrom="topMargin">
              <wp:posOffset>10388600</wp:posOffset>
            </wp:positionV>
            <wp:extent cx="304800" cy="266700"/>
            <wp:effectExtent l="0" t="0" r="0" b="0"/>
            <wp:wrapNone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Courier New"/>
          <w:b/>
          <w:sz w:val="32"/>
          <w:szCs w:val="32"/>
        </w:rPr>
        <w:t>第</w:t>
      </w:r>
      <w:r>
        <w:rPr>
          <w:rFonts w:hint="eastAsia" w:ascii="宋体" w:hAnsi="宋体" w:eastAsia="宋体" w:cs="Courier New"/>
          <w:b/>
          <w:sz w:val="32"/>
          <w:szCs w:val="32"/>
        </w:rPr>
        <w:t>四</w:t>
      </w:r>
      <w:r>
        <w:rPr>
          <w:rFonts w:ascii="宋体" w:hAnsi="宋体" w:eastAsia="宋体" w:cs="Courier New"/>
          <w:b/>
          <w:sz w:val="32"/>
          <w:szCs w:val="32"/>
        </w:rPr>
        <w:t>单元　</w:t>
      </w:r>
      <w:r>
        <w:rPr>
          <w:rFonts w:hint="eastAsia" w:ascii="宋体" w:hAnsi="宋体" w:eastAsia="宋体" w:cs="Courier New"/>
          <w:b/>
          <w:sz w:val="32"/>
          <w:szCs w:val="32"/>
        </w:rPr>
        <w:t>明清中国版图的奠定与面临的挑战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sz w:val="30"/>
          <w:szCs w:val="30"/>
        </w:rPr>
      </w:pPr>
      <w:r>
        <w:rPr>
          <w:rFonts w:ascii="宋体" w:hAnsi="宋体" w:eastAsia="宋体" w:cs="Times New Roman"/>
          <w:b/>
          <w:sz w:val="30"/>
          <w:szCs w:val="30"/>
        </w:rPr>
        <w:t>第</w:t>
      </w:r>
      <w:r>
        <w:rPr>
          <w:rFonts w:hint="eastAsia" w:ascii="宋体" w:hAnsi="宋体" w:eastAsia="宋体" w:cs="Times New Roman"/>
          <w:b/>
          <w:sz w:val="30"/>
          <w:szCs w:val="30"/>
        </w:rPr>
        <w:t>13</w:t>
      </w:r>
      <w:r>
        <w:rPr>
          <w:rFonts w:ascii="宋体" w:hAnsi="宋体" w:eastAsia="宋体" w:cs="Times New Roman"/>
          <w:b/>
          <w:sz w:val="30"/>
          <w:szCs w:val="30"/>
        </w:rPr>
        <w:t>课　</w:t>
      </w:r>
      <w:r>
        <w:rPr>
          <w:rFonts w:hint="eastAsia" w:ascii="宋体" w:hAnsi="宋体" w:eastAsia="宋体" w:cs="Times New Roman"/>
          <w:b/>
          <w:sz w:val="30"/>
          <w:szCs w:val="30"/>
        </w:rPr>
        <w:t>从明朝建立到清军入关</w:t>
      </w:r>
    </w:p>
    <w:p>
      <w:pPr>
        <w:adjustRightInd w:val="0"/>
        <w:snapToGrid w:val="0"/>
        <w:spacing w:line="360" w:lineRule="auto"/>
        <w:rPr>
          <w:rFonts w:ascii="宋体" w:hAnsi="宋体" w:eastAsia="宋体"/>
          <w:b/>
        </w:rPr>
      </w:pPr>
      <w:r>
        <w:rPr>
          <w:rFonts w:ascii="宋体" w:hAnsi="宋体" w:eastAsia="宋体" w:cs="Times New Roman"/>
        </w:rPr>
        <w:drawing>
          <wp:inline distT="0" distB="0" distL="0" distR="0">
            <wp:extent cx="1181100" cy="2984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342" cy="30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8"/>
        <w:tblW w:w="907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唯物史观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运用唯物史观的相关理论，客观辩证地看待明朝政治制度对社会发展及社会转型的影响。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时空观念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认识从明朝建立到清朝统一所处的特定时空环境，抓住其特定时空背景和阶段特征。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史料实证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通过文献资料记载，实证明朝政治统治、对外关系的特点及影响。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历史解释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运用文献资料，认识明初废丞相，设置殿阁大学士，君权与相权矛盾基本解决；明成祖时设内阁，君主专制强化。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家国情怀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left"/>
              <w:rPr>
                <w:rFonts w:hAnsi="宋体" w:cs="Times New Roman"/>
                <w:sz w:val="24"/>
                <w:szCs w:val="24"/>
              </w:rPr>
            </w:pPr>
            <w:r>
              <w:rPr>
                <w:rFonts w:hint="eastAsia" w:hAnsi="宋体"/>
              </w:rPr>
              <w:t>认识明朝国家统一，加强对边疆地区的管辖，对外友好交往，统一多民族国家巩固发展，培养中华民族爱国爱家的情怀。</w:t>
            </w: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 w:eastAsia="宋体"/>
          <w:b/>
        </w:rPr>
      </w:pPr>
      <w:r>
        <w:rPr>
          <w:rFonts w:ascii="宋体" w:hAnsi="宋体" w:eastAsia="宋体" w:cs="Times New Roman"/>
        </w:rPr>
        <w:drawing>
          <wp:inline distT="0" distB="0" distL="0" distR="0">
            <wp:extent cx="1209675" cy="3143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36" cy="33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1.重点：</w:t>
      </w:r>
      <w:r>
        <w:rPr>
          <w:rFonts w:hint="eastAsia" w:ascii="宋体" w:hAnsi="宋体" w:eastAsia="宋体"/>
        </w:rPr>
        <w:t>明朝君主专制中央集权发展的历程及特点</w:t>
      </w:r>
      <w:r>
        <w:rPr>
          <w:rFonts w:ascii="宋体" w:hAnsi="宋体" w:eastAsia="宋体"/>
        </w:rPr>
        <w:t xml:space="preserve"> </w:t>
      </w: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2.难点：</w:t>
      </w:r>
      <w:r>
        <w:rPr>
          <w:rFonts w:hint="eastAsia" w:ascii="宋体" w:hAnsi="宋体" w:eastAsia="宋体"/>
        </w:rPr>
        <w:t>多角度认识明朝社会发展的时代特征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b/>
        </w:rPr>
      </w:pPr>
      <w:r>
        <w:rPr>
          <w:rFonts w:ascii="宋体" w:hAnsi="宋体" w:eastAsia="宋体" w:cs="Times New Roman"/>
        </w:rPr>
        <w:drawing>
          <wp:inline distT="0" distB="0" distL="0" distR="0">
            <wp:extent cx="1295400" cy="281305"/>
            <wp:effectExtent l="0" t="0" r="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395" cy="30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基础认知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一、明朝政治体制的变化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1、明朝建立：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1351年，元朝爆发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，动乱波及全国。佃农出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身的起义将领_____势力逐渐强大，统一了南方。_____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朱元璋称帝，定都______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，国号大明。朱元璋就是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_____。同年，明军北伐，攻占_____，推翻了元朝。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2、明朝君主专制的强化：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（1）废宰相：明太祖性格多疑、专断，迷恋____，事必躬亲。他废除了自秦以来一直实行的___制度，并且严令子孙永远不许_______。这一举措对以后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500余年的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产生了深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远影响。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设内阁：宰相废除后，皇帝需要______六部等具体职能部门，工作压力成倍增加。明太祖的儿子_____在位时，选拔一些文官到皇宫内的_____值班，充当___。从此，形成一个常设的_______机构，俗称“____”，其官员称为某殿或某阁____。大学士的日常工作主要是替皇帝_______，___处理意见，称为“____”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。皇帝在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票拟的基础上，用红笔正式批复奏章，称为“___”。明朝中期，有的大学士深得皇帝信任，___很大，被比喻为宰相。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（3）宦官专权：比较而言，宦官比内阁更多地得到皇帝信任，以致出现______的局面。内廷宦官机构____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获得了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_______皇帝批红的权力，还负责提督特务机构___________，对官民的言行进行监视、侦查，有权_________。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17世纪20年代，宦官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一度主宰朝政，实施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________，被称为“九千岁”。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二、海上交通与沿海形势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1、郑和下西洋：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（1）概况：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15世纪前期，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派遣宦官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率领船队先后7次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远航海外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，访问了亚非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多个国家和地区，最远到达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____东海岸，史称“________”。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影响：郑和下西洋是世界历史上_______的远洋航行，在____________等方面大大领先于半个多世纪之后的欧洲远洋航海家的航行。但是，其目的主要是“_______________”，给明朝带来较大的________，因此后来未能持续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2、海禁与戚继光抗倭：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海禁：从____末年起，日本海盗不时在我国东部沿海骚扰，被称为“____”。明朝中期，朝廷出于对日本实行_______的目的，严厉禁止_______。结果东南民间______活动猖獗，与____混杂，出没沿海，_______，造成巨大破坏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（2）戚继光抗倭：明廷派遣大将_____等人平倭，经过长时间战斗，加上后来逐渐____了对私人海外贸易的限制，东南沿海的形势才稳定下来。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3、欧洲殖民者的活动：明朝____期，随着______的开辟，欧洲殖民者在中国沿海的活动日益频繁。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（1）占澳门：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16世纪中叶，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人以晾晒货物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为由，贿赂香山县地方官获得了在______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的租住权。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（2）占台湾：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稍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晚东来的_________，先后占据了台湾岛的南部和北部。明朝末年，____击败西班牙，独占台湾。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三、内陆边疆与明清易代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1、明朝与蒙古的关系：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修长城与双方和战：元朝灭亡后，草原上的蒙古人逐渐形成___、___两大集团。为防御他们南下，明朝重新修筑了___。明中期，瓦剌和鞑靼不断威胁明朝______，两次突破长城深入内地，包围北京。瓦剌还曾经在一次战役中俘虏了_____。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1571年，鞑靼首领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与明朝订立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，接受明朝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____。双方恢复并扩大________，直到明末基本上维持了和平局面。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朝贡贸易与互市：中国古代王朝与_________经济联系的主要方式是___贸易，即少数民族进贡土产，朝廷回赐_________。明朝前中期，与蒙古的朝贡贸易规模有限，时开时停，无法满足蒙古对_______________的迫切需要。俺答汗与明朝达成和议后，不但恢复了________关系，还在大同等边镇开设“___”场所，大市每年一次，小市每月一次，长城内外的农牧民可以前来自由交易。这项和议大大推动了___________________的发展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2、对藏族与女真地区的管理：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（1）藏族地区：藏族地区在明朝称为_____。明廷封授给当地的僧俗首领________等称号，并设立了______、_______等机构，委用藏族____人士任职。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（2）女真族：明朝前期，派人到东北招抚，在黑龙江流域设立了________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，并广泛对东北地区女真部落首领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3、清朝崛起：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16、17世纪之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交，女真建州部首领_______逐渐统一女真各部。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1616年，他在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赫图阿拉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称汗，国号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，并对明朝展开进攻。1636年，其子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_____在盛京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称帝，改国号为“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”，并将女真族名改为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后来，努尔哈赤和皇太极分别被尊为_____和_____。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4、明朝灭亡与清朝统一：在清朝崛起之际，明朝政治黑暗，天灾流行，_______蜂起，统治摇摇欲坠。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1644年，农民军首领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在西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安建立“____”政权，随即攻占北京，______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自缢，明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朝灭亡。清朝摄政王_____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统军进入山海关，打败李自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成，进占并迁都于_____。此后又经过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20多年的激烈战斗，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清军将______和南方的_______势力逐一击败，确立了在全国的统治。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深化探究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探究一  明代内阁的性质及作用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史料实证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史料　内阁只是皇帝的私人办公厅，不是政府正式的政事堂。内阁学士也只是皇帝的内廷秘书，不是外朝正式宰相之职。于是皇帝在法理上，便变成在政府里的真正领袖。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——钱穆《中国传统政治》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根据史料及所学知识，说明内阁的性质及作用。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提示：性质：不是法定的中央一级的行政机构，只是为皇帝提供顾问的内侍机构。作用：加强了皇权。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探究二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明代宦官专权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洪武初年，朱元璋规定宦官不得读书识字，不得干预政事，对宦官控制很严。朱棣因夺帝位曾得助于宦官，故视他们为亲信，设东厂，由宦官主持。宦官开始取得出使、专征、分镇等大权，为后来的宦官专政提供了条件。宦官专权是明朝国家结构和政治生活中的一大特色，是皇帝极端专制主义的强化带来的皇权本身的异化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探究三  郑和下西洋的条件及意义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1.条件：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提示：明朝经济繁荣，国力雄厚；具备远航的技术条件，</w:t>
      </w:r>
      <w:r>
        <w:rPr>
          <w:rFonts w:ascii="宋体" w:hAnsi="宋体" w:eastAsia="宋体"/>
          <w:color w:val="FF0000"/>
        </w:rPr>
        <w:t>如：先进的造船技术、指南针；郑和吃苦耐劳和勇于探索的精神。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2.意义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史料实证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15世纪的中国是一个综合实力走在世界前列的强国，郑和七下西洋，没有侵略和掠夺，只有友谊交往和馈赠，是名副其实的和平与友谊之旅……数百年来，东南亚各国各种郑和庙宇香火旺盛，各种遗迹经久不损，各种传说历久不衰。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郑和下西洋为什么被称为“名副其实的和平与友谊之旅”。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提示</w:t>
      </w:r>
      <w:r>
        <w:rPr>
          <w:rFonts w:hint="eastAsia" w:ascii="宋体" w:hAnsi="宋体" w:eastAsia="宋体"/>
          <w:color w:val="FF0000"/>
        </w:rPr>
        <w:t>：</w:t>
      </w:r>
      <w:r>
        <w:rPr>
          <w:rFonts w:ascii="宋体" w:hAnsi="宋体" w:eastAsia="宋体"/>
          <w:color w:val="FF0000"/>
        </w:rPr>
        <w:t>郑和的远航，</w:t>
      </w:r>
      <w:r>
        <w:rPr>
          <w:rFonts w:hint="eastAsia" w:ascii="宋体" w:hAnsi="宋体" w:eastAsia="宋体"/>
          <w:color w:val="FF0000"/>
        </w:rPr>
        <w:t>时间长，次数多，规模大，是世界航海史上的空前壮举；</w:t>
      </w:r>
      <w:r>
        <w:rPr>
          <w:rFonts w:ascii="宋体" w:hAnsi="宋体" w:eastAsia="宋体"/>
          <w:color w:val="FF0000"/>
        </w:rPr>
        <w:t>增进了中国与亚非国家和地区的相互了解和友好往来</w:t>
      </w:r>
      <w:r>
        <w:rPr>
          <w:rFonts w:hint="eastAsia" w:ascii="宋体" w:hAnsi="宋体" w:eastAsia="宋体"/>
          <w:color w:val="FF0000"/>
        </w:rPr>
        <w:t>；</w:t>
      </w:r>
      <w:r>
        <w:rPr>
          <w:rFonts w:ascii="宋体" w:hAnsi="宋体" w:eastAsia="宋体"/>
          <w:color w:val="FF0000"/>
        </w:rPr>
        <w:t>开创了西太平洋与印度洋之间的亚非海上交通线，为人类航海事业作出了伟大贡献。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探究四  戚继光抗倭斗争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史料实证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材料  封侯非我意，但愿海波平。遥知夷岛浮天际，未敢忘危负年。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——戚继光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.诗中表达了诗人怎样的抱负？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.如何评价戚继光及其领导的抗倭战争？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提示</w:t>
      </w:r>
      <w:r>
        <w:rPr>
          <w:rFonts w:hint="eastAsia" w:ascii="宋体" w:hAnsi="宋体" w:eastAsia="宋体"/>
          <w:color w:val="FF0000"/>
        </w:rPr>
        <w:t>：1</w:t>
      </w:r>
      <w:r>
        <w:rPr>
          <w:rFonts w:ascii="宋体" w:hAnsi="宋体" w:eastAsia="宋体"/>
          <w:color w:val="FF0000"/>
        </w:rPr>
        <w:t>.诗中表达了诗人以平定倭患为己任，不以升官发财为目的，希望人民早日过上安宁生活的抱负。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2</w:t>
      </w:r>
      <w:r>
        <w:rPr>
          <w:rFonts w:ascii="宋体" w:hAnsi="宋体" w:eastAsia="宋体"/>
          <w:color w:val="FF0000"/>
        </w:rPr>
        <w:t>.戚继光领导的抗倭战争是一场反侵略的战争，他是我国历史上一位伟大的民族英雄和爱国主义者。</w:t>
      </w:r>
    </w:p>
    <w:p>
      <w:pPr>
        <w:spacing w:line="360" w:lineRule="auto"/>
        <w:rPr>
          <w:rFonts w:ascii="宋体" w:hAnsi="宋体" w:eastAsia="宋体" w:cs="Times New Roman"/>
          <w:color w:val="FF0000"/>
          <w:szCs w:val="21"/>
          <w:u w:val="single"/>
        </w:rPr>
      </w:pPr>
      <w:r>
        <w:rPr>
          <w:rFonts w:ascii="宋体" w:hAnsi="宋体" w:eastAsia="宋体" w:cs="Times New Roman"/>
        </w:rPr>
        <w:drawing>
          <wp:inline distT="0" distB="0" distL="0" distR="0">
            <wp:extent cx="1295400" cy="2921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375" cy="31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1.明初废丞相、设顾问性质的内阁大学士，严防权臣乱政。明中后期严嵩、张居正等内阁首辅操纵朝政，权倾一时。这表明(　　)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A.皇权渐趋衰弱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B.君主集权加强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C.内阁取代六部  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D.首辅权力失控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答案　</w:t>
      </w:r>
      <w:r>
        <w:rPr>
          <w:rFonts w:ascii="宋体" w:hAnsi="宋体" w:eastAsia="宋体"/>
          <w:color w:val="FF0000"/>
        </w:rPr>
        <w:t>B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万历初，张居正为首辅，人称“张相公”，他认为自己“所理者，皇上之事也，所代者，皇上之言也”，“居正请广纳阁员，诏即令居正推。居正因推礼部尚书马自强、吏部右侍郎申时行入阁”。由此可以推知明朝(　　)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A.皇权高度集中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B.内阁首辅大权独揽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C.形成君臣共主的理政格局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D.内阁拥有国家政治的决策权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答案　</w:t>
      </w:r>
      <w:r>
        <w:rPr>
          <w:rFonts w:ascii="宋体" w:hAnsi="宋体" w:eastAsia="宋体"/>
          <w:color w:val="FF0000"/>
        </w:rPr>
        <w:t>A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3.唐朝以前，皇帝曾把外戚引入宫廷辅政，尤其是皇帝幼小之时，因而出现外戚专权现象，两汉尤甚。北宋以后则摒弃外戚辅政做法，明中期以后，选后妃、驸马甚至有意选寒微之家。这种做法反映了中国古代(　　)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A.官僚政治呈现理性化倾向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B.政治统治日益走向腐朽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C.专制君主的权力日益衰微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D.君主专制摆脱人治困扰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答案　</w:t>
      </w:r>
      <w:r>
        <w:rPr>
          <w:rFonts w:ascii="宋体" w:hAnsi="宋体" w:eastAsia="宋体"/>
          <w:color w:val="FF0000"/>
        </w:rPr>
        <w:t>A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4494530</wp:posOffset>
            </wp:positionH>
            <wp:positionV relativeFrom="paragraph">
              <wp:posOffset>363220</wp:posOffset>
            </wp:positionV>
            <wp:extent cx="1209040" cy="1158240"/>
            <wp:effectExtent l="0" t="0" r="0" b="3810"/>
            <wp:wrapTight wrapText="bothSides">
              <wp:wrapPolygon>
                <wp:start x="0" y="0"/>
                <wp:lineTo x="0" y="21316"/>
                <wp:lineTo x="21101" y="21316"/>
                <wp:lineTo x="21101" y="0"/>
                <wp:lineTo x="0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4.右图的历史人物堪称是“大航海时代”的先驱，其远洋航行的时间之长、规模之大、范围之广都是空前的。他的航海活动（   ）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A、加强了我国与亚非国家的友好关系   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B、促进了我国与欧美国家的经济交流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C、对非洲国家的财宝进行了大肆挤压   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D、与所到的亚非各国发生了激烈冲突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答案  A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5.郁达夫为某历史人物的祠堂题写了“拨云手指天心月，拔剑光寒倭寇胆”的对联。结合以下人物的突出事迹，他赞扬的应是(    )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A、岳飞       B、郑和  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C、戚继光     D、郑成功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答案</w:t>
      </w:r>
      <w:r>
        <w:rPr>
          <w:rFonts w:ascii="宋体" w:hAnsi="宋体" w:eastAsia="宋体"/>
          <w:color w:val="FF0000"/>
        </w:rPr>
        <w:t xml:space="preserve">  </w:t>
      </w:r>
      <w:r>
        <w:rPr>
          <w:rFonts w:hint="eastAsia" w:ascii="宋体" w:hAnsi="宋体" w:eastAsia="宋体"/>
          <w:color w:val="FF0000"/>
        </w:rPr>
        <w:t>C</w:t>
      </w:r>
    </w:p>
    <w:sectPr>
      <w:headerReference r:id="rId3" w:type="default"/>
      <w:footerReference r:id="rId4" w:type="default"/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004DC8"/>
    <w:rsid w:val="0002635E"/>
    <w:rsid w:val="00036301"/>
    <w:rsid w:val="00044D27"/>
    <w:rsid w:val="00062904"/>
    <w:rsid w:val="00073E4D"/>
    <w:rsid w:val="00076FD5"/>
    <w:rsid w:val="00087368"/>
    <w:rsid w:val="00095669"/>
    <w:rsid w:val="000A72E7"/>
    <w:rsid w:val="000E35C4"/>
    <w:rsid w:val="001045D3"/>
    <w:rsid w:val="00106437"/>
    <w:rsid w:val="00120D3B"/>
    <w:rsid w:val="0014752D"/>
    <w:rsid w:val="00147787"/>
    <w:rsid w:val="0015182B"/>
    <w:rsid w:val="00157848"/>
    <w:rsid w:val="00163324"/>
    <w:rsid w:val="00181B8C"/>
    <w:rsid w:val="0019343C"/>
    <w:rsid w:val="001B377C"/>
    <w:rsid w:val="001B45B6"/>
    <w:rsid w:val="001C3DD9"/>
    <w:rsid w:val="001D46E9"/>
    <w:rsid w:val="001D6ED9"/>
    <w:rsid w:val="002044F5"/>
    <w:rsid w:val="00210E6A"/>
    <w:rsid w:val="00221722"/>
    <w:rsid w:val="00233E28"/>
    <w:rsid w:val="00257606"/>
    <w:rsid w:val="00274DD5"/>
    <w:rsid w:val="00291E61"/>
    <w:rsid w:val="002939A5"/>
    <w:rsid w:val="002A3C3F"/>
    <w:rsid w:val="002D2330"/>
    <w:rsid w:val="002E371E"/>
    <w:rsid w:val="00301F3C"/>
    <w:rsid w:val="00312694"/>
    <w:rsid w:val="00315BFF"/>
    <w:rsid w:val="00323E4C"/>
    <w:rsid w:val="00326F11"/>
    <w:rsid w:val="0037057E"/>
    <w:rsid w:val="00380457"/>
    <w:rsid w:val="003A0438"/>
    <w:rsid w:val="003A0920"/>
    <w:rsid w:val="003B607A"/>
    <w:rsid w:val="003E1953"/>
    <w:rsid w:val="003E6D50"/>
    <w:rsid w:val="00416B40"/>
    <w:rsid w:val="00427A95"/>
    <w:rsid w:val="004453B3"/>
    <w:rsid w:val="00481EDB"/>
    <w:rsid w:val="0048553D"/>
    <w:rsid w:val="004932D3"/>
    <w:rsid w:val="004951DF"/>
    <w:rsid w:val="0049627F"/>
    <w:rsid w:val="004B1E44"/>
    <w:rsid w:val="004B29EF"/>
    <w:rsid w:val="004B5B18"/>
    <w:rsid w:val="004E5EFD"/>
    <w:rsid w:val="004F6E23"/>
    <w:rsid w:val="00505E9A"/>
    <w:rsid w:val="00510836"/>
    <w:rsid w:val="00514CBE"/>
    <w:rsid w:val="00531CC1"/>
    <w:rsid w:val="00535951"/>
    <w:rsid w:val="00574BD6"/>
    <w:rsid w:val="00582511"/>
    <w:rsid w:val="00592424"/>
    <w:rsid w:val="005E06BF"/>
    <w:rsid w:val="005F5028"/>
    <w:rsid w:val="005F6808"/>
    <w:rsid w:val="00602224"/>
    <w:rsid w:val="00614A8A"/>
    <w:rsid w:val="00632689"/>
    <w:rsid w:val="00660F33"/>
    <w:rsid w:val="00666B13"/>
    <w:rsid w:val="00672527"/>
    <w:rsid w:val="00672C3A"/>
    <w:rsid w:val="00682279"/>
    <w:rsid w:val="00696D9E"/>
    <w:rsid w:val="00697C63"/>
    <w:rsid w:val="006C6FFF"/>
    <w:rsid w:val="006E3500"/>
    <w:rsid w:val="006E718E"/>
    <w:rsid w:val="006F62A4"/>
    <w:rsid w:val="00722799"/>
    <w:rsid w:val="00731A3A"/>
    <w:rsid w:val="00750E0F"/>
    <w:rsid w:val="00756055"/>
    <w:rsid w:val="00782203"/>
    <w:rsid w:val="0079471B"/>
    <w:rsid w:val="007A4B57"/>
    <w:rsid w:val="007A76D2"/>
    <w:rsid w:val="007B01E1"/>
    <w:rsid w:val="007C25A0"/>
    <w:rsid w:val="007D02DA"/>
    <w:rsid w:val="007D32E7"/>
    <w:rsid w:val="007D66CB"/>
    <w:rsid w:val="007E0CAB"/>
    <w:rsid w:val="007F3648"/>
    <w:rsid w:val="0080177D"/>
    <w:rsid w:val="00802A84"/>
    <w:rsid w:val="00803E6E"/>
    <w:rsid w:val="00831D68"/>
    <w:rsid w:val="00873F26"/>
    <w:rsid w:val="00874CC5"/>
    <w:rsid w:val="00880B32"/>
    <w:rsid w:val="008A7B2E"/>
    <w:rsid w:val="008D46A2"/>
    <w:rsid w:val="008E661F"/>
    <w:rsid w:val="008F7B9E"/>
    <w:rsid w:val="009030E4"/>
    <w:rsid w:val="0090665B"/>
    <w:rsid w:val="00917FA8"/>
    <w:rsid w:val="0092037F"/>
    <w:rsid w:val="00925EEE"/>
    <w:rsid w:val="00960594"/>
    <w:rsid w:val="0097314F"/>
    <w:rsid w:val="00996F88"/>
    <w:rsid w:val="009C41B2"/>
    <w:rsid w:val="009E1074"/>
    <w:rsid w:val="00A16EF2"/>
    <w:rsid w:val="00A429B6"/>
    <w:rsid w:val="00A432FB"/>
    <w:rsid w:val="00A60C16"/>
    <w:rsid w:val="00A729D7"/>
    <w:rsid w:val="00A7376D"/>
    <w:rsid w:val="00A93FBD"/>
    <w:rsid w:val="00A95BA6"/>
    <w:rsid w:val="00AB02DF"/>
    <w:rsid w:val="00AB3509"/>
    <w:rsid w:val="00AF601C"/>
    <w:rsid w:val="00B033A9"/>
    <w:rsid w:val="00B11F35"/>
    <w:rsid w:val="00B3760F"/>
    <w:rsid w:val="00B4234C"/>
    <w:rsid w:val="00B436A7"/>
    <w:rsid w:val="00B436F5"/>
    <w:rsid w:val="00B52E04"/>
    <w:rsid w:val="00B6785E"/>
    <w:rsid w:val="00B71A10"/>
    <w:rsid w:val="00B97F3B"/>
    <w:rsid w:val="00BA23BF"/>
    <w:rsid w:val="00BA73FA"/>
    <w:rsid w:val="00BB3D1B"/>
    <w:rsid w:val="00BB68DE"/>
    <w:rsid w:val="00BB7A33"/>
    <w:rsid w:val="00BD7202"/>
    <w:rsid w:val="00BD7A0A"/>
    <w:rsid w:val="00BF596F"/>
    <w:rsid w:val="00C00AD0"/>
    <w:rsid w:val="00C131FC"/>
    <w:rsid w:val="00C22E45"/>
    <w:rsid w:val="00C616B8"/>
    <w:rsid w:val="00C622B3"/>
    <w:rsid w:val="00C64D29"/>
    <w:rsid w:val="00C70ABE"/>
    <w:rsid w:val="00C73F1D"/>
    <w:rsid w:val="00C75F3E"/>
    <w:rsid w:val="00C77474"/>
    <w:rsid w:val="00C83F55"/>
    <w:rsid w:val="00CC2F79"/>
    <w:rsid w:val="00CC431F"/>
    <w:rsid w:val="00CC43D3"/>
    <w:rsid w:val="00D12E4A"/>
    <w:rsid w:val="00D144C1"/>
    <w:rsid w:val="00D20ED0"/>
    <w:rsid w:val="00D21E4A"/>
    <w:rsid w:val="00D23616"/>
    <w:rsid w:val="00D62198"/>
    <w:rsid w:val="00D7342E"/>
    <w:rsid w:val="00D762E3"/>
    <w:rsid w:val="00D90362"/>
    <w:rsid w:val="00DC0C85"/>
    <w:rsid w:val="00DC2D70"/>
    <w:rsid w:val="00DE7426"/>
    <w:rsid w:val="00E01CCA"/>
    <w:rsid w:val="00E07F25"/>
    <w:rsid w:val="00E13F1D"/>
    <w:rsid w:val="00E175AC"/>
    <w:rsid w:val="00E27177"/>
    <w:rsid w:val="00E44196"/>
    <w:rsid w:val="00E63991"/>
    <w:rsid w:val="00E85888"/>
    <w:rsid w:val="00E92C83"/>
    <w:rsid w:val="00E94821"/>
    <w:rsid w:val="00EA3FD1"/>
    <w:rsid w:val="00EC0430"/>
    <w:rsid w:val="00EC3167"/>
    <w:rsid w:val="00EC7972"/>
    <w:rsid w:val="00ED2305"/>
    <w:rsid w:val="00EE7E96"/>
    <w:rsid w:val="00F01FF2"/>
    <w:rsid w:val="00F0235D"/>
    <w:rsid w:val="00F0252C"/>
    <w:rsid w:val="00F14D0F"/>
    <w:rsid w:val="00F24BA1"/>
    <w:rsid w:val="00F53D2E"/>
    <w:rsid w:val="00F809EE"/>
    <w:rsid w:val="00F818FF"/>
    <w:rsid w:val="00F84ABC"/>
    <w:rsid w:val="00F86CB4"/>
    <w:rsid w:val="00F91E4B"/>
    <w:rsid w:val="00FC34A3"/>
    <w:rsid w:val="00FD21AC"/>
    <w:rsid w:val="00FF5752"/>
    <w:rsid w:val="0175658D"/>
    <w:rsid w:val="4F56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nhideWhenUsed/>
    <w:uiPriority w:val="99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3">
    <w:name w:val="纯文本 Char"/>
    <w:basedOn w:val="7"/>
    <w:link w:val="2"/>
    <w:uiPriority w:val="99"/>
    <w:rPr>
      <w:rFonts w:ascii="宋体" w:hAnsi="Courier New" w:eastAsia="宋体" w:cs="Courier New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蔡甸专业电脑卖场</Company>
  <Pages>5</Pages>
  <Words>595</Words>
  <Characters>3398</Characters>
  <Lines>28</Lines>
  <Paragraphs>7</Paragraphs>
  <TotalTime>737</TotalTime>
  <ScaleCrop>false</ScaleCrop>
  <LinksUpToDate>false</LinksUpToDate>
  <CharactersWithSpaces>3986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2019-06-21T10:05:00Z</dcterms:created>
  <dc:creator>Administrator</dc:creator>
  <cp:lastModifiedBy>清</cp:lastModifiedBy>
  <dcterms:modified xsi:type="dcterms:W3CDTF">2020-04-10T22:05:36Z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