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center"/>
        <w:rPr>
          <w:rStyle w:val="15"/>
          <w:rFonts w:hint="default" w:ascii="Times New Roman" w:hAnsi="Times New Roman" w:eastAsia="黑体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eastAsia="黑体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default" w:ascii="Times New Roman" w:hAnsi="Times New Roman" w:eastAsia="黑体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离子反应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center"/>
        <w:rPr>
          <w:rStyle w:val="15"/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Style w:val="15"/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15"/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  电解质及其电离</w:t>
      </w:r>
    </w:p>
    <w:p>
      <w:pPr>
        <w:adjustRightInd w:val="0"/>
        <w:snapToGrid w:val="0"/>
        <w:spacing w:line="360" w:lineRule="auto"/>
        <w:contextualSpacing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【基础知识梳理】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点一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实验探究——【实验1-2】p13</w:t>
      </w:r>
      <w:bookmarkStart w:id="1" w:name="_GoBack"/>
      <w:bookmarkEnd w:id="1"/>
    </w:p>
    <w:tbl>
      <w:tblPr>
        <w:tblStyle w:val="10"/>
        <w:tblW w:w="9846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8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15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实验装置</w:t>
            </w:r>
          </w:p>
        </w:tc>
        <w:tc>
          <w:tcPr>
            <w:tcW w:w="868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bookmark4"/>
            <w:bookmarkEnd w:id="0"/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28775" cy="1028700"/>
                  <wp:effectExtent l="0" t="0" r="9525" b="0"/>
                  <wp:docPr id="7" name="图片 7" descr="1685933342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859333422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5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实验原理</w:t>
            </w:r>
          </w:p>
        </w:tc>
        <w:tc>
          <w:tcPr>
            <w:tcW w:w="868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电解质溶液能够导电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15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实验用品</w:t>
            </w:r>
          </w:p>
        </w:tc>
        <w:tc>
          <w:tcPr>
            <w:tcW w:w="868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水；水槽、试管、直流电源、导线。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实验步骤</w:t>
            </w:r>
          </w:p>
        </w:tc>
        <w:tc>
          <w:tcPr>
            <w:tcW w:w="868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在三个烧杯中分别加入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燥的NaC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固体、KNO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固体和蒸馏水，如图所示连接装置，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将石墨电极依次放入三个烧杯中，分别接通电源，观察并记录现象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取上述烧杯中的NaCl固体、KNO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固体各少许，分别加入另外两个盛有蒸馏水的烧杯中，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用玻璃棒搅拌，使固体完全溶解形成溶液。如图所示，将石墨电极依次放入NaC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溶液、KNO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溶液中，分别接通电源，观察并记录现象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实验现象</w:t>
            </w:r>
          </w:p>
        </w:tc>
        <w:tc>
          <w:tcPr>
            <w:tcW w:w="868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将石墨电极分别放入固体NaCl、KNO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和蒸馏水中，接通电源后，小灯泡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不发光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将固体NaCl、KNO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分别加入两个盛有蒸馏水的烧杯中，形成溶液，再放入电极，接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通电源，小灯泡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都会发光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5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实验结论</w:t>
            </w:r>
          </w:p>
        </w:tc>
        <w:tc>
          <w:tcPr>
            <w:tcW w:w="868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固体NaCl、KNO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和蒸馏水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导电；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NaCl、KNO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溶液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5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实验说明</w:t>
            </w:r>
          </w:p>
        </w:tc>
        <w:tc>
          <w:tcPr>
            <w:tcW w:w="8688" w:type="dxa"/>
          </w:tcPr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固体NaCl、KNO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不能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导电。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NaC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溶液、KNO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溶液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都能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导电。</w:t>
            </w:r>
          </w:p>
          <w:p>
            <w:pPr>
              <w:pStyle w:val="2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严格地说，蒸馏水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也能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导电，只是导电能力非常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，用上述实验装置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不能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测出。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导电原因分析：物质导电必须具有能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自由移动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带电荷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的粒子。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NaCl固体、KNO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固体不导电的原因是固体中含有阴、阳离子，但这些离子不能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自由移动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NaCl固体加入水中时，在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水分子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的作用下，Na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和Cl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脱离固体的表面，进入水中，形成能够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自由移动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的水合钠离子和水合氯离子；NaCl溶液中插入电极，水合钠离子和水合氯离子分别向与电源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负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相连的电极移动。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NaCl固体受热熔化时，因温度升高，离子的运动加快，克服了离子间的相互作用，产生了能够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自由移动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的Na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与Cl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，所以熔融状态的NaCl可以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导电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二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电解质和非电解质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textAlignment w:val="center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电解质是在水溶液中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熔融状态下能够导电的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化合物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酸、碱、盐属于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电解质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textAlignment w:val="center"/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非电解质是在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水溶液中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熔融状态下都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不能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导电的化合物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，如蔗糖、乙醇等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电解质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非电解质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的比较</w:t>
      </w:r>
    </w:p>
    <w:tbl>
      <w:tblPr>
        <w:tblStyle w:val="10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100"/>
        <w:gridCol w:w="4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电解质</w:t>
            </w:r>
          </w:p>
        </w:tc>
        <w:tc>
          <w:tcPr>
            <w:tcW w:w="40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非电解质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相同点</w:t>
            </w:r>
          </w:p>
        </w:tc>
        <w:tc>
          <w:tcPr>
            <w:tcW w:w="818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不同点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00" w:type="dxa"/>
            <w:textDirection w:val="tbRlV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本质区别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vMerge w:val="restart"/>
            <w:textDirection w:val="tbRlV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所含物质类型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点三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强电解质和弱电解质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强电解质：在溶液中能够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全部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电离的电解质。则强电解质溶液中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不存在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电离平衡。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弱电解质：在溶液中只是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部分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电离的电解质。则弱电解质溶液中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存在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电离平衡。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强电解质与弱电解质的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比较：</w:t>
      </w:r>
    </w:p>
    <w:tbl>
      <w:tblPr>
        <w:tblStyle w:val="10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4043"/>
        <w:gridCol w:w="3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强电解质</w:t>
            </w:r>
          </w:p>
        </w:tc>
        <w:tc>
          <w:tcPr>
            <w:tcW w:w="357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弱电解质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定义</w:t>
            </w:r>
          </w:p>
        </w:tc>
        <w:tc>
          <w:tcPr>
            <w:tcW w:w="404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化合物类型</w:t>
            </w:r>
          </w:p>
        </w:tc>
        <w:tc>
          <w:tcPr>
            <w:tcW w:w="404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电离程度</w:t>
            </w:r>
          </w:p>
        </w:tc>
        <w:tc>
          <w:tcPr>
            <w:tcW w:w="404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电离过程</w:t>
            </w:r>
          </w:p>
        </w:tc>
        <w:tc>
          <w:tcPr>
            <w:tcW w:w="404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溶液中存在的微粒（水分子不计）</w:t>
            </w:r>
          </w:p>
        </w:tc>
        <w:tc>
          <w:tcPr>
            <w:tcW w:w="404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实例</w:t>
            </w:r>
          </w:p>
        </w:tc>
        <w:tc>
          <w:tcPr>
            <w:tcW w:w="404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电离方程式</w:t>
            </w:r>
          </w:p>
        </w:tc>
        <w:tc>
          <w:tcPr>
            <w:tcW w:w="404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vertAlign w:val="superscript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jc w:val="center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点四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电解质的电离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)电离及其条件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电离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的概念：电解质在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水溶液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中或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熔化状态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下，离解成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自由移动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离子的过程。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cs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电离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条件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：离子化合物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溶于水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熔化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或共价化合物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溶于水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电离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的结果：产生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自由移动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离子，具有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导电性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2)电离方程式的书写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（1）强电解质：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完全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电离，用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Cs w:val="21"/>
          <w:u w:val="single" w:color="000000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表示。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如H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、NaOH、(NH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的电离方程式分别为H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、NaOH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、(NH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（2）弱电解质：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部分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电离，用“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”表示。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①多元弱酸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分步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 ，且电离程度逐步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减弱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第一步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电离为主。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如H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S的电离方程式为H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275" cy="114300"/>
            <wp:effectExtent l="0" t="0" r="9525" b="0"/>
            <wp:docPr id="11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＋HS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；HS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275" cy="114300"/>
            <wp:effectExtent l="0" t="0" r="9525" b="0"/>
            <wp:docPr id="17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＋S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2－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②多元弱碱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分步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电离，但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一步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写出。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如Cu(OH)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275" cy="114300"/>
            <wp:effectExtent l="0" t="0" r="9525" b="0"/>
            <wp:docPr id="22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Cu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＋2OH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③两性氢氧化物双向电离。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如Al(OH)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的电离方程式：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＋AlO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275" cy="114300"/>
            <wp:effectExtent l="0" t="0" r="9525" b="0"/>
            <wp:docPr id="28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Al(OH)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275" cy="114300"/>
            <wp:effectExtent l="0" t="0" r="9525" b="0"/>
            <wp:docPr id="30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Al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＋3OH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第三章学习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（3）酸式盐：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①强酸酸式盐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完全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电离，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一步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写出。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如NaHSO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在水溶液中的电离方程式为NaHSO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在熔融状态下的电离方程式为NaHSO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②多元弱酸酸式盐，第一步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完全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电离，其余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部分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如NaHCO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Cs w:val="21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，HCO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275" cy="114300"/>
            <wp:effectExtent l="0" t="0" r="9525" b="0"/>
            <wp:docPr id="32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3)酸、碱的概念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（1）酸：电离时生成的阳离子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是H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的化合物，如：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HCl、HNO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baseli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（2）碱：电离时生成的阴离子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是OH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的化合物，如：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NaOH、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Ca(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Ba(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baseli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点五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电解质溶液的导电性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1)电解质的导电原理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熔融电解质或电解质溶液中的导电微粒是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自由移动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的阴、阳离子，它们在外电场作用下能产生定向移动从而导电。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2)电解质溶液导电能力大小的影响因素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①电解质溶液导电能力的大小取决于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溶液中自由移动离子的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浓度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和离子的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电荷数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②温度升高时，弱电解质电离程度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增大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，离子浓度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增大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，导电性会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增强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；但强电解质溶液的导电性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几乎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不变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)电解质导电性与导电能力强弱的判断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center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96515" cy="805180"/>
            <wp:effectExtent l="0" t="0" r="13335" b="13970"/>
            <wp:docPr id="33" name="图片 33" descr="E:\牛鑫\2021\课件\2022版 创新设计 高考总复习 化学 人教版\A79+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E:\牛鑫\2021\课件\2022版 创新设计 高考总复习 化学 人教版\A79+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金属导电与电解质溶液导电原因对比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（1）金属导电是由于自由电子在电场作用下的定向移动，温度高、金属阳离子振动幅度大，自由电子定向移动阻力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增大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，金属导电性变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弱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电解质溶液之所以导电，是由于溶液中有自由移动的离子存在。电解质溶液导电能力的大小，决定于溶液中自由移动离子的浓度和离子的电荷数，和电解质的强弱没有必然联系。但温度升高时，弱电解质电离程度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增大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、离子浓度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增大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、导电性会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增强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【课堂检测】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center"/>
        <w:rPr>
          <w:rFonts w:hint="default" w:ascii="Times New Roman" w:hAnsi="Times New Roman" w:cs="Times New Roman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cs="Times New Roman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请判断下列说法的正误(正确的打“√”，错误的打“×”)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所有能导电带物质是电解质。(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固体氯化钠不能导电，所以固体氯化钠不是电解质。（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氨气溶于水得到的氨水能导电，所以氨气是电解质。(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难溶于水的盐(CaCO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、AgCl等)都是非电解质。(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二氧化碳的水溶液能够导电，所以二氧化碳是电解质。(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（6）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电解质在熔融状态下一定能够导电。(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（7）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5" o:spt="75" alt="eqId3cd6200aa9357b208a994c93c210ff60" type="#_x0000_t75" style="height:14.1pt;width:18.45pt;" o:ole="t" filled="f" o:preferrelative="t" stroked="f" coordsize="21600,21600">
            <v:path/>
            <v:fill on="f" focussize="0,0"/>
            <v:stroke on="f" joinstyle="miter"/>
            <v:imagedata r:id="rId10" o:title="eqId3cd6200aa9357b208a994c93c210ff60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6" o:spt="75" alt="eqIddbe2066525aa0616cf44d051d57bf713" type="#_x0000_t75" style="height:15.95pt;width:21.95pt;" o:ole="t" filled="f" o:preferrelative="t" stroked="f" coordsize="21600,21600">
            <v:path/>
            <v:fill on="f" focussize="0,0"/>
            <v:stroke on="f" joinstyle="miter"/>
            <v:imagedata r:id="rId12" o:title="eqIddbe2066525aa0616cf44d051d57bf71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的水溶液都能导电，但它们都是非电解质。(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（8）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铁丝、石墨、氯化钠溶液均能导电，则三种物质均属于电解质。(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（9）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甲烷是电解质。(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（10）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在溶于水或熔融状态下能够自身发生电离的化合物一定是电解质。(</w:t>
      </w:r>
      <w:r>
        <w:rPr>
          <w:rFonts w:hint="default" w:ascii="Times New Roman" w:hAnsi="Times New Roman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．下列电离方程式中，正确的是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7" o:spt="75" alt="eqIdb459d847f1dd3a423522c728f94e6e26" type="#_x0000_t75" style="height:13.85pt;width:77.4pt;" o:ole="t" filled="f" o:preferrelative="t" stroked="f" coordsize="21600,21600">
            <v:path/>
            <v:fill on="f" focussize="0,0"/>
            <v:stroke on="f" joinstyle="miter"/>
            <v:imagedata r:id="rId14" o:title="eqIdb459d847f1dd3a423522c728f94e6e2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8" o:spt="75" alt="eqId0fd6291da1227a7a56f1a6e52fef2480" type="#_x0000_t75" style="height:16.45pt;width:107.3pt;" o:ole="t" filled="f" o:preferrelative="t" stroked="f" coordsize="21600,21600">
            <v:path/>
            <v:fill on="f" focussize="0,0"/>
            <v:stroke on="f" joinstyle="miter"/>
            <v:imagedata r:id="rId16" o:title="eqId0fd6291da1227a7a56f1a6e52fef248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9" o:spt="75" alt="eqId79f17b3892cd60bb4818692efe99262b" type="#_x0000_t75" style="height:17.25pt;width:86.2pt;" o:ole="t" filled="f" o:preferrelative="t" stroked="f" coordsize="21600,21600">
            <v:path/>
            <v:fill on="f" focussize="0,0"/>
            <v:stroke on="f" joinstyle="miter"/>
            <v:imagedata r:id="rId18" o:title="eqId79f17b3892cd60bb4818692efe99262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0" o:spt="75" alt="eqId64e77234bec630e57b24242a5b445927" type="#_x0000_t75" style="height:16.7pt;width:109.1pt;" o:ole="t" filled="f" o:preferrelative="t" stroked="f" coordsize="21600,21600">
            <v:path/>
            <v:fill on="f" focussize="0,0"/>
            <v:stroke on="f" joinstyle="miter"/>
            <v:imagedata r:id="rId20" o:title="eqId64e77234bec630e57b24242a5b445927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．下列电离方程式正确的是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1" o:spt="75" alt="eqId5245fa8ba95478dc89c077b2f0b0cd6e" type="#_x0000_t75" style="height:16.5pt;width:82.7pt;" o:ole="t" filled="f" o:preferrelative="t" stroked="f" coordsize="21600,21600">
            <v:path/>
            <v:fill on="f" focussize="0,0"/>
            <v:stroke on="f" joinstyle="miter"/>
            <v:imagedata r:id="rId22" o:title="eqId5245fa8ba95478dc89c077b2f0b0cd6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2" o:spt="75" alt="eqId0b0a0981d429c4c6316faeb1253ee0ae" type="#_x0000_t75" style="height:19.1pt;width:107.35pt;" o:ole="t" filled="f" o:preferrelative="t" stroked="f" coordsize="21600,21600">
            <v:path/>
            <v:fill on="f" focussize="0,0"/>
            <v:stroke on="f" joinstyle="miter"/>
            <v:imagedata r:id="rId24" o:title="eqId0b0a0981d429c4c6316faeb1253ee0a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3" o:spt="75" alt="eqIdbbd1774c4c1423ad89c0a44dcab01390" type="#_x0000_t75" style="height:16.45pt;width:84.4pt;" o:ole="t" filled="f" o:preferrelative="t" stroked="f" coordsize="21600,21600">
            <v:path/>
            <v:fill on="f" focussize="0,0"/>
            <v:stroke on="f" joinstyle="miter"/>
            <v:imagedata r:id="rId26" o:title="eqIdbbd1774c4c1423ad89c0a44dcab0139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4" o:spt="75" alt="eqId52222eb21ff889689984af9a289e3dca" type="#_x0000_t75" style="height:16.5pt;width:113.5pt;" o:ole="t" filled="f" o:preferrelative="t" stroked="f" coordsize="21600,21600">
            <v:path/>
            <v:fill on="f" focussize="0,0"/>
            <v:stroke on="f" joinstyle="miter"/>
            <v:imagedata r:id="rId28" o:title="eqId52222eb21ff889689984af9a289e3dca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．酸式盐是盐的一种，可看作是多元酸中的氢离子未被完全中和所得到的盐，常见的有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5" o:spt="75" alt="eqIde7dcde4bdbd4d0e52382a6cbf799869f" type="#_x0000_t75" style="height:15.8pt;width:41.35pt;" o:ole="t" filled="f" o:preferrelative="t" stroked="f" coordsize="21600,21600">
            <v:path/>
            <v:fill on="f" focussize="0,0"/>
            <v:stroke on="f" joinstyle="miter"/>
            <v:imagedata r:id="rId30" o:title="eqIde7dcde4bdbd4d0e52382a6cbf799869f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6" o:spt="75" alt="eqId341c9262378de71d9ff2b23126a4e8d1" type="#_x0000_t75" style="height:13.75pt;width:36.05pt;" o:ole="t" filled="f" o:preferrelative="t" stroked="f" coordsize="21600,21600">
            <v:path/>
            <v:fill on="f" focussize="0,0"/>
            <v:stroke on="f" joinstyle="miter"/>
            <v:imagedata r:id="rId32" o:title="eqId341c9262378de71d9ff2b23126a4e8d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7" o:spt="75" alt="eqIdb5bb4a9f9acbd53053513470cb3db740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34" o:title="eqIdb5bb4a9f9acbd53053513470cb3db74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8" o:spt="75" alt="eqId6687b033d79f740c10921ff654738996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36" o:title="eqId6687b033d79f740c10921ff65473899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。已知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9" o:spt="75" alt="eqIdd9c981a2eb72ffc1cc6574ab108a9e91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38" o:title="eqIdd9c981a2eb72ffc1cc6574ab108a9e9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(次磷酸)与足量的NaOH反应只生成一种盐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40" o:spt="75" alt="eqId85edfc4d84f3a253a2a99f9b3af97b5f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40" o:title="eqId85edfc4d84f3a253a2a99f9b3af97b5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，则下列说法正确的是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41" o:spt="75" alt="eqIdd9c981a2eb72ffc1cc6574ab108a9e91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38" o:title="eqIdd9c981a2eb72ffc1cc6574ab108a9e9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属于一元酸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42" o:spt="75" alt="eqIdd9c981a2eb72ffc1cc6574ab108a9e91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38" o:title="eqIdd9c981a2eb72ffc1cc6574ab108a9e91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属于三元酸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43" o:spt="75" alt="eqId85edfc4d84f3a253a2a99f9b3af97b5f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40" o:title="eqId85edfc4d84f3a253a2a99f9b3af97b5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属于酸式盐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44" o:spt="75" alt="eqId85edfc4d84f3a253a2a99f9b3af97b5f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40" o:title="eqId85edfc4d84f3a253a2a99f9b3af97b5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电离方程式为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45" o:spt="75" alt="eqId754390e35a297a8567afda5671c78e09" type="#_x0000_t75" style="height:16.9pt;width:132pt;" o:ole="t" filled="f" o:preferrelative="t" stroked="f" coordsize="21600,21600">
            <v:path/>
            <v:fill on="f" focussize="0,0"/>
            <v:stroke on="f" joinstyle="miter"/>
            <v:imagedata r:id="rId46" o:title="eqId754390e35a297a8567afda5671c78e09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．在电解质溶液的导电性装置中，若如下图中滴加溶液时，灯泡亮暗变化随加入溶液体积变化的图像是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center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strike w:val="0"/>
          <w:color w:val="000000" w:themeColor="text1"/>
          <w:kern w:val="0"/>
          <w:sz w:val="21"/>
          <w:szCs w:val="21"/>
          <w:u w:val="none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78330" cy="1300480"/>
            <wp:effectExtent l="0" t="0" r="7620" b="13970"/>
            <wp:docPr id="18" name="图片 18" descr="@@@7afc27bd-81fe-4eea-9530-f06c1403a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@@@7afc27bd-81fe-4eea-9530-f06c1403a4bc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0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228"/>
        <w:gridCol w:w="2132"/>
        <w:gridCol w:w="2096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320800" cy="933450"/>
                  <wp:effectExtent l="0" t="0" r="12700" b="0"/>
                  <wp:docPr id="19" name="图片 19" descr="@@@b47463da-1a13-455c-ad6f-b7448ceece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@@@b47463da-1a13-455c-ad6f-b7448ceecebd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210310" cy="852805"/>
                  <wp:effectExtent l="0" t="0" r="8890" b="4445"/>
                  <wp:docPr id="20" name="图片 20" descr="@@@b7c088d3-e94f-426a-98fa-5e778ecd2c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@@@b7c088d3-e94f-426a-98fa-5e778ecd2c3e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207770" cy="898525"/>
                  <wp:effectExtent l="0" t="0" r="11430" b="15875"/>
                  <wp:docPr id="21" name="图片 21" descr="@@@913caa70-237a-4faf-be33-9821740e0a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@@@913caa70-237a-4faf-be33-9821740e0a44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155065" cy="829310"/>
                  <wp:effectExtent l="0" t="0" r="6985" b="8890"/>
                  <wp:docPr id="100011" name="图片 100011" descr="@@@0e58094c-d648-40fd-827a-9a59dfbd2b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 descr="@@@0e58094c-d648-40fd-827a-9a59dfbd2be2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77" w:bottom="1440" w:left="1077" w:header="709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柳公权柳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9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2310"/>
  <w:drawingGridHorizontalSpacing w:val="106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wNmM2M2Y1NDIzMjFjYjU0OTk1Y2FiNzZmYmZmZTcifQ=="/>
  </w:docVars>
  <w:rsids>
    <w:rsidRoot w:val="00363227"/>
    <w:rsid w:val="000010D6"/>
    <w:rsid w:val="00004A06"/>
    <w:rsid w:val="000054B8"/>
    <w:rsid w:val="00011442"/>
    <w:rsid w:val="0001360E"/>
    <w:rsid w:val="000153FC"/>
    <w:rsid w:val="00022AEE"/>
    <w:rsid w:val="00022E44"/>
    <w:rsid w:val="00026DCA"/>
    <w:rsid w:val="00041561"/>
    <w:rsid w:val="00044591"/>
    <w:rsid w:val="00051F46"/>
    <w:rsid w:val="00061E8A"/>
    <w:rsid w:val="00063F2C"/>
    <w:rsid w:val="000C0C0B"/>
    <w:rsid w:val="000D2601"/>
    <w:rsid w:val="000D32E9"/>
    <w:rsid w:val="000D38AA"/>
    <w:rsid w:val="000D688E"/>
    <w:rsid w:val="000D7007"/>
    <w:rsid w:val="000E4A0D"/>
    <w:rsid w:val="000F14DB"/>
    <w:rsid w:val="000F425F"/>
    <w:rsid w:val="000F5636"/>
    <w:rsid w:val="00125413"/>
    <w:rsid w:val="001274B7"/>
    <w:rsid w:val="00146953"/>
    <w:rsid w:val="00153D0E"/>
    <w:rsid w:val="00153EEE"/>
    <w:rsid w:val="00154444"/>
    <w:rsid w:val="00155B85"/>
    <w:rsid w:val="00167157"/>
    <w:rsid w:val="00176306"/>
    <w:rsid w:val="001A2354"/>
    <w:rsid w:val="001A4B7E"/>
    <w:rsid w:val="001A644D"/>
    <w:rsid w:val="001D5A46"/>
    <w:rsid w:val="00202AF3"/>
    <w:rsid w:val="0020571B"/>
    <w:rsid w:val="002204FC"/>
    <w:rsid w:val="00223300"/>
    <w:rsid w:val="00230745"/>
    <w:rsid w:val="00233310"/>
    <w:rsid w:val="002405D1"/>
    <w:rsid w:val="002530AF"/>
    <w:rsid w:val="0027067E"/>
    <w:rsid w:val="002771D2"/>
    <w:rsid w:val="00277BA1"/>
    <w:rsid w:val="00280A2D"/>
    <w:rsid w:val="002832E3"/>
    <w:rsid w:val="002952E2"/>
    <w:rsid w:val="0029771B"/>
    <w:rsid w:val="002A1416"/>
    <w:rsid w:val="002E5544"/>
    <w:rsid w:val="002E56FE"/>
    <w:rsid w:val="002F48CB"/>
    <w:rsid w:val="003115B1"/>
    <w:rsid w:val="00320A3F"/>
    <w:rsid w:val="0035476C"/>
    <w:rsid w:val="00356214"/>
    <w:rsid w:val="00363227"/>
    <w:rsid w:val="003852D0"/>
    <w:rsid w:val="00385C1E"/>
    <w:rsid w:val="00387528"/>
    <w:rsid w:val="00393440"/>
    <w:rsid w:val="003A129E"/>
    <w:rsid w:val="003A521E"/>
    <w:rsid w:val="003B0C6C"/>
    <w:rsid w:val="003B1048"/>
    <w:rsid w:val="003B6587"/>
    <w:rsid w:val="003E594B"/>
    <w:rsid w:val="003F0F8C"/>
    <w:rsid w:val="003F0F91"/>
    <w:rsid w:val="003F39CB"/>
    <w:rsid w:val="003F432B"/>
    <w:rsid w:val="003F54B0"/>
    <w:rsid w:val="0040362A"/>
    <w:rsid w:val="0040402F"/>
    <w:rsid w:val="00406969"/>
    <w:rsid w:val="00413DEE"/>
    <w:rsid w:val="004151FC"/>
    <w:rsid w:val="0041645E"/>
    <w:rsid w:val="00423829"/>
    <w:rsid w:val="0042749A"/>
    <w:rsid w:val="00430807"/>
    <w:rsid w:val="00434664"/>
    <w:rsid w:val="00442644"/>
    <w:rsid w:val="00442B6D"/>
    <w:rsid w:val="004534F7"/>
    <w:rsid w:val="00464A88"/>
    <w:rsid w:val="00467C81"/>
    <w:rsid w:val="0047331D"/>
    <w:rsid w:val="00484639"/>
    <w:rsid w:val="00486104"/>
    <w:rsid w:val="004A5C34"/>
    <w:rsid w:val="004B4F16"/>
    <w:rsid w:val="004B65A8"/>
    <w:rsid w:val="004C3D78"/>
    <w:rsid w:val="004D7EDA"/>
    <w:rsid w:val="004E66CF"/>
    <w:rsid w:val="00516F30"/>
    <w:rsid w:val="00517F40"/>
    <w:rsid w:val="00526D38"/>
    <w:rsid w:val="005306D2"/>
    <w:rsid w:val="0054151A"/>
    <w:rsid w:val="005563CE"/>
    <w:rsid w:val="005570AE"/>
    <w:rsid w:val="00563B9A"/>
    <w:rsid w:val="0056487D"/>
    <w:rsid w:val="00567233"/>
    <w:rsid w:val="00581F91"/>
    <w:rsid w:val="005F0767"/>
    <w:rsid w:val="0061125A"/>
    <w:rsid w:val="00612AE7"/>
    <w:rsid w:val="006138FD"/>
    <w:rsid w:val="00615A22"/>
    <w:rsid w:val="006318FA"/>
    <w:rsid w:val="006348C8"/>
    <w:rsid w:val="00643755"/>
    <w:rsid w:val="0067606D"/>
    <w:rsid w:val="00686471"/>
    <w:rsid w:val="00691074"/>
    <w:rsid w:val="00691399"/>
    <w:rsid w:val="00692D69"/>
    <w:rsid w:val="00693906"/>
    <w:rsid w:val="006C4E68"/>
    <w:rsid w:val="006D34B3"/>
    <w:rsid w:val="006E406D"/>
    <w:rsid w:val="006E795A"/>
    <w:rsid w:val="00700A91"/>
    <w:rsid w:val="00742A61"/>
    <w:rsid w:val="00750DF4"/>
    <w:rsid w:val="007610CD"/>
    <w:rsid w:val="00764417"/>
    <w:rsid w:val="0077341D"/>
    <w:rsid w:val="007835A9"/>
    <w:rsid w:val="00792DDF"/>
    <w:rsid w:val="007A37D4"/>
    <w:rsid w:val="007A6580"/>
    <w:rsid w:val="007A7516"/>
    <w:rsid w:val="007C0C1C"/>
    <w:rsid w:val="007D2717"/>
    <w:rsid w:val="007D2B73"/>
    <w:rsid w:val="007E7367"/>
    <w:rsid w:val="007E7F73"/>
    <w:rsid w:val="00800346"/>
    <w:rsid w:val="00802B20"/>
    <w:rsid w:val="008178F5"/>
    <w:rsid w:val="00851C89"/>
    <w:rsid w:val="00852478"/>
    <w:rsid w:val="0085328A"/>
    <w:rsid w:val="00857B34"/>
    <w:rsid w:val="00871C95"/>
    <w:rsid w:val="00892AC3"/>
    <w:rsid w:val="008949B4"/>
    <w:rsid w:val="00896C7D"/>
    <w:rsid w:val="008A154D"/>
    <w:rsid w:val="008A3493"/>
    <w:rsid w:val="008A79EF"/>
    <w:rsid w:val="008B1307"/>
    <w:rsid w:val="008B4995"/>
    <w:rsid w:val="008B6784"/>
    <w:rsid w:val="008C5390"/>
    <w:rsid w:val="008C53D6"/>
    <w:rsid w:val="008D2D68"/>
    <w:rsid w:val="008D58F4"/>
    <w:rsid w:val="008E7B9E"/>
    <w:rsid w:val="008F0C37"/>
    <w:rsid w:val="008F49F9"/>
    <w:rsid w:val="0090022E"/>
    <w:rsid w:val="009011F7"/>
    <w:rsid w:val="009035F2"/>
    <w:rsid w:val="009058A6"/>
    <w:rsid w:val="00913910"/>
    <w:rsid w:val="009228B8"/>
    <w:rsid w:val="00931013"/>
    <w:rsid w:val="009471DB"/>
    <w:rsid w:val="00947416"/>
    <w:rsid w:val="00951EDB"/>
    <w:rsid w:val="00955C9A"/>
    <w:rsid w:val="00955DAC"/>
    <w:rsid w:val="00957236"/>
    <w:rsid w:val="009678C6"/>
    <w:rsid w:val="00971B32"/>
    <w:rsid w:val="00972601"/>
    <w:rsid w:val="00974DC8"/>
    <w:rsid w:val="009955C2"/>
    <w:rsid w:val="009A1574"/>
    <w:rsid w:val="009A3332"/>
    <w:rsid w:val="009D373D"/>
    <w:rsid w:val="009D7A05"/>
    <w:rsid w:val="00A25C8C"/>
    <w:rsid w:val="00A41159"/>
    <w:rsid w:val="00A474DF"/>
    <w:rsid w:val="00A54B2E"/>
    <w:rsid w:val="00A5506D"/>
    <w:rsid w:val="00A67F68"/>
    <w:rsid w:val="00A936A1"/>
    <w:rsid w:val="00A93EE1"/>
    <w:rsid w:val="00AA0DD5"/>
    <w:rsid w:val="00AA44F1"/>
    <w:rsid w:val="00AB2C50"/>
    <w:rsid w:val="00AB7B1D"/>
    <w:rsid w:val="00AC2A30"/>
    <w:rsid w:val="00AD01F9"/>
    <w:rsid w:val="00AF79D6"/>
    <w:rsid w:val="00B01DB9"/>
    <w:rsid w:val="00B07347"/>
    <w:rsid w:val="00B205AE"/>
    <w:rsid w:val="00B22B29"/>
    <w:rsid w:val="00B442E1"/>
    <w:rsid w:val="00B456D5"/>
    <w:rsid w:val="00B45B51"/>
    <w:rsid w:val="00B57F9B"/>
    <w:rsid w:val="00B63441"/>
    <w:rsid w:val="00B756D3"/>
    <w:rsid w:val="00B83706"/>
    <w:rsid w:val="00BA7E12"/>
    <w:rsid w:val="00BB13DB"/>
    <w:rsid w:val="00BB64FF"/>
    <w:rsid w:val="00BC0865"/>
    <w:rsid w:val="00BC50A0"/>
    <w:rsid w:val="00BE699F"/>
    <w:rsid w:val="00BF0A8A"/>
    <w:rsid w:val="00BF2357"/>
    <w:rsid w:val="00BF2518"/>
    <w:rsid w:val="00BF4AD7"/>
    <w:rsid w:val="00BF7ECE"/>
    <w:rsid w:val="00C02FC6"/>
    <w:rsid w:val="00C14876"/>
    <w:rsid w:val="00C2613D"/>
    <w:rsid w:val="00C26672"/>
    <w:rsid w:val="00C42E15"/>
    <w:rsid w:val="00C531B2"/>
    <w:rsid w:val="00C7515A"/>
    <w:rsid w:val="00CD3E4D"/>
    <w:rsid w:val="00CD43A4"/>
    <w:rsid w:val="00CE1E76"/>
    <w:rsid w:val="00CE430A"/>
    <w:rsid w:val="00CF20BC"/>
    <w:rsid w:val="00D01135"/>
    <w:rsid w:val="00D350B0"/>
    <w:rsid w:val="00D36E1B"/>
    <w:rsid w:val="00D37474"/>
    <w:rsid w:val="00D70B67"/>
    <w:rsid w:val="00D75E3A"/>
    <w:rsid w:val="00D76376"/>
    <w:rsid w:val="00D811AC"/>
    <w:rsid w:val="00D85EC1"/>
    <w:rsid w:val="00D91E83"/>
    <w:rsid w:val="00DA626A"/>
    <w:rsid w:val="00DC4429"/>
    <w:rsid w:val="00DC6115"/>
    <w:rsid w:val="00DD06A4"/>
    <w:rsid w:val="00DD0D58"/>
    <w:rsid w:val="00DD3CAD"/>
    <w:rsid w:val="00DE5BD7"/>
    <w:rsid w:val="00DE6DEE"/>
    <w:rsid w:val="00DF4C25"/>
    <w:rsid w:val="00DF7E8F"/>
    <w:rsid w:val="00E025A3"/>
    <w:rsid w:val="00E10D52"/>
    <w:rsid w:val="00E13D12"/>
    <w:rsid w:val="00E20989"/>
    <w:rsid w:val="00E22B37"/>
    <w:rsid w:val="00E23F16"/>
    <w:rsid w:val="00E27E11"/>
    <w:rsid w:val="00E4143E"/>
    <w:rsid w:val="00E41D24"/>
    <w:rsid w:val="00E44048"/>
    <w:rsid w:val="00E600D0"/>
    <w:rsid w:val="00E622D9"/>
    <w:rsid w:val="00E6738E"/>
    <w:rsid w:val="00E815E3"/>
    <w:rsid w:val="00E83466"/>
    <w:rsid w:val="00E8658E"/>
    <w:rsid w:val="00E90E86"/>
    <w:rsid w:val="00E92FB9"/>
    <w:rsid w:val="00E9367B"/>
    <w:rsid w:val="00EA131C"/>
    <w:rsid w:val="00EF2E28"/>
    <w:rsid w:val="00F02252"/>
    <w:rsid w:val="00F04F22"/>
    <w:rsid w:val="00F14DFB"/>
    <w:rsid w:val="00F15C23"/>
    <w:rsid w:val="00F2725A"/>
    <w:rsid w:val="00F3190C"/>
    <w:rsid w:val="00F345EE"/>
    <w:rsid w:val="00F372BC"/>
    <w:rsid w:val="00F46981"/>
    <w:rsid w:val="00F65318"/>
    <w:rsid w:val="00F7044D"/>
    <w:rsid w:val="00F70893"/>
    <w:rsid w:val="00F85484"/>
    <w:rsid w:val="00F902EF"/>
    <w:rsid w:val="00F94C2C"/>
    <w:rsid w:val="00F96A23"/>
    <w:rsid w:val="00FA064B"/>
    <w:rsid w:val="00FA2009"/>
    <w:rsid w:val="00FA2213"/>
    <w:rsid w:val="00FA2F2D"/>
    <w:rsid w:val="00FC5134"/>
    <w:rsid w:val="00FC550C"/>
    <w:rsid w:val="00FD742F"/>
    <w:rsid w:val="00FE04F9"/>
    <w:rsid w:val="00FF18AA"/>
    <w:rsid w:val="02947DF6"/>
    <w:rsid w:val="03483F72"/>
    <w:rsid w:val="03C350C4"/>
    <w:rsid w:val="046B77FC"/>
    <w:rsid w:val="05345318"/>
    <w:rsid w:val="05812B41"/>
    <w:rsid w:val="059943FD"/>
    <w:rsid w:val="08DB07BA"/>
    <w:rsid w:val="0BE36818"/>
    <w:rsid w:val="0E99011F"/>
    <w:rsid w:val="0F7A766B"/>
    <w:rsid w:val="107C2BA3"/>
    <w:rsid w:val="17346F09"/>
    <w:rsid w:val="191124F0"/>
    <w:rsid w:val="19F85670"/>
    <w:rsid w:val="1C2A6756"/>
    <w:rsid w:val="1C4267B0"/>
    <w:rsid w:val="208B7A2B"/>
    <w:rsid w:val="222D6FD4"/>
    <w:rsid w:val="2377737A"/>
    <w:rsid w:val="24A6178E"/>
    <w:rsid w:val="27A720F5"/>
    <w:rsid w:val="291E5CCD"/>
    <w:rsid w:val="2A8320CC"/>
    <w:rsid w:val="2B727B18"/>
    <w:rsid w:val="2C944A8B"/>
    <w:rsid w:val="32194F4F"/>
    <w:rsid w:val="324472AF"/>
    <w:rsid w:val="32657265"/>
    <w:rsid w:val="379363BF"/>
    <w:rsid w:val="37AD1444"/>
    <w:rsid w:val="3D8418FA"/>
    <w:rsid w:val="414A2B2A"/>
    <w:rsid w:val="42610843"/>
    <w:rsid w:val="4A3A3D77"/>
    <w:rsid w:val="4AF5673A"/>
    <w:rsid w:val="4CE4545C"/>
    <w:rsid w:val="4D29223B"/>
    <w:rsid w:val="4DF94E97"/>
    <w:rsid w:val="506E5364"/>
    <w:rsid w:val="53230361"/>
    <w:rsid w:val="54F4658A"/>
    <w:rsid w:val="56722448"/>
    <w:rsid w:val="56D64E78"/>
    <w:rsid w:val="57266481"/>
    <w:rsid w:val="5B2542E4"/>
    <w:rsid w:val="5CEC1D3E"/>
    <w:rsid w:val="5D417D61"/>
    <w:rsid w:val="5D6A7788"/>
    <w:rsid w:val="5DC62B28"/>
    <w:rsid w:val="5F2C3C76"/>
    <w:rsid w:val="5FE76AEB"/>
    <w:rsid w:val="60937CA5"/>
    <w:rsid w:val="62B57A22"/>
    <w:rsid w:val="62CA6546"/>
    <w:rsid w:val="63CB5E0E"/>
    <w:rsid w:val="64047D3A"/>
    <w:rsid w:val="68904057"/>
    <w:rsid w:val="6FBE2D32"/>
    <w:rsid w:val="72060F54"/>
    <w:rsid w:val="74943BCF"/>
    <w:rsid w:val="7A13687B"/>
    <w:rsid w:val="7ABA1811"/>
    <w:rsid w:val="7B4C2E7E"/>
    <w:rsid w:val="7CB634FA"/>
    <w:rsid w:val="7CC91CEA"/>
    <w:rsid w:val="7CD651A5"/>
    <w:rsid w:val="7F724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Light Shading Accent 5"/>
    <w:basedOn w:val="10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3">
    <w:name w:val="Light List Accent 5"/>
    <w:basedOn w:val="10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1">
    <w:name w:val="纯文本 Char"/>
    <w:basedOn w:val="14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标题 3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paragraph" w:customStyle="1" w:styleId="23">
    <w:name w:val="纯文本_0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xb1"/>
    <w:qFormat/>
    <w:uiPriority w:val="0"/>
    <w:rPr>
      <w:rFonts w:ascii="Verdana" w:hAnsi="Verdana"/>
      <w:kern w:val="0"/>
      <w:sz w:val="15"/>
      <w:szCs w:val="15"/>
      <w:vertAlign w:val="subscript"/>
      <w:lang w:eastAsia="en-US"/>
    </w:rPr>
  </w:style>
  <w:style w:type="paragraph" w:styleId="2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Table Paragraph"/>
    <w:basedOn w:val="1"/>
    <w:qFormat/>
    <w:uiPriority w:val="1"/>
    <w:pPr>
      <w:ind w:left="108"/>
    </w:pPr>
    <w:rPr>
      <w:rFonts w:ascii="Noto Sans CJK JP Black" w:hAnsi="Noto Sans CJK JP Black" w:eastAsia="Noto Sans CJK JP Black" w:cs="Noto Sans CJK JP Black"/>
    </w:rPr>
  </w:style>
  <w:style w:type="paragraph" w:customStyle="1" w:styleId="27">
    <w:name w:val="DefaultParagraph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4" Type="http://schemas.openxmlformats.org/officeDocument/2006/relationships/fontTable" Target="fontTable.xml"/><Relationship Id="rId53" Type="http://schemas.openxmlformats.org/officeDocument/2006/relationships/customXml" Target="../customXml/item2.xml"/><Relationship Id="rId52" Type="http://schemas.openxmlformats.org/officeDocument/2006/relationships/customXml" Target="../customXml/item1.xml"/><Relationship Id="rId51" Type="http://schemas.openxmlformats.org/officeDocument/2006/relationships/image" Target="media/image27.png"/><Relationship Id="rId50" Type="http://schemas.openxmlformats.org/officeDocument/2006/relationships/image" Target="media/image26.png"/><Relationship Id="rId5" Type="http://schemas.openxmlformats.org/officeDocument/2006/relationships/theme" Target="theme/theme1.xml"/><Relationship Id="rId49" Type="http://schemas.openxmlformats.org/officeDocument/2006/relationships/image" Target="media/image25.png"/><Relationship Id="rId48" Type="http://schemas.openxmlformats.org/officeDocument/2006/relationships/image" Target="media/image24.png"/><Relationship Id="rId47" Type="http://schemas.openxmlformats.org/officeDocument/2006/relationships/image" Target="media/image23.png"/><Relationship Id="rId46" Type="http://schemas.openxmlformats.org/officeDocument/2006/relationships/image" Target="media/image22.wmf"/><Relationship Id="rId45" Type="http://schemas.openxmlformats.org/officeDocument/2006/relationships/oleObject" Target="embeddings/oleObject21.bin"/><Relationship Id="rId44" Type="http://schemas.openxmlformats.org/officeDocument/2006/relationships/oleObject" Target="embeddings/oleObject20.bin"/><Relationship Id="rId43" Type="http://schemas.openxmlformats.org/officeDocument/2006/relationships/oleObject" Target="embeddings/oleObject19.bin"/><Relationship Id="rId42" Type="http://schemas.openxmlformats.org/officeDocument/2006/relationships/oleObject" Target="embeddings/oleObject18.bin"/><Relationship Id="rId41" Type="http://schemas.openxmlformats.org/officeDocument/2006/relationships/oleObject" Target="embeddings/oleObject17.bin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8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7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5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4.wmf"/><Relationship Id="rId25" Type="http://schemas.openxmlformats.org/officeDocument/2006/relationships/oleObject" Target="embeddings/oleObject9.bin"/><Relationship Id="rId24" Type="http://schemas.openxmlformats.org/officeDocument/2006/relationships/image" Target="media/image13.wmf"/><Relationship Id="rId23" Type="http://schemas.openxmlformats.org/officeDocument/2006/relationships/oleObject" Target="embeddings/oleObject8.bin"/><Relationship Id="rId22" Type="http://schemas.openxmlformats.org/officeDocument/2006/relationships/image" Target="media/image12.wmf"/><Relationship Id="rId21" Type="http://schemas.openxmlformats.org/officeDocument/2006/relationships/oleObject" Target="embeddings/oleObject7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10.wmf"/><Relationship Id="rId17" Type="http://schemas.openxmlformats.org/officeDocument/2006/relationships/oleObject" Target="embeddings/oleObject5.bin"/><Relationship Id="rId16" Type="http://schemas.openxmlformats.org/officeDocument/2006/relationships/image" Target="media/image9.wmf"/><Relationship Id="rId15" Type="http://schemas.openxmlformats.org/officeDocument/2006/relationships/oleObject" Target="embeddings/oleObject4.bin"/><Relationship Id="rId14" Type="http://schemas.openxmlformats.org/officeDocument/2006/relationships/image" Target="media/image8.wmf"/><Relationship Id="rId13" Type="http://schemas.openxmlformats.org/officeDocument/2006/relationships/oleObject" Target="embeddings/oleObject3.bin"/><Relationship Id="rId12" Type="http://schemas.openxmlformats.org/officeDocument/2006/relationships/image" Target="media/image7.wmf"/><Relationship Id="rId11" Type="http://schemas.openxmlformats.org/officeDocument/2006/relationships/oleObject" Target="embeddings/oleObject2.bin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66AC78-3D70-4079-81BF-BEB8E9D3F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xgzx</Company>
  <Pages>13</Pages>
  <Words>12656</Words>
  <Characters>14673</Characters>
  <Lines>114</Lines>
  <Paragraphs>32</Paragraphs>
  <TotalTime>2</TotalTime>
  <ScaleCrop>false</ScaleCrop>
  <LinksUpToDate>false</LinksUpToDate>
  <CharactersWithSpaces>14879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2023-11-07T08:54:00Z</dcterms:created>
  <dc:creator>高三015</dc:creator>
  <cp:lastModifiedBy>邓欢靓</cp:lastModifiedBy>
  <dcterms:modified xsi:type="dcterms:W3CDTF">2024-08-25T04:26:36Z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9C5B73FA5A424FE0B126696B32DEDA4E</vt:lpwstr>
  </property>
</Properties>
</file>