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10541000</wp:posOffset>
            </wp:positionH>
            <wp:positionV relativeFrom="topMargin">
              <wp:posOffset>10248900</wp:posOffset>
            </wp:positionV>
            <wp:extent cx="444500" cy="469900"/>
            <wp:effectExtent l="0" t="0" r="0" b="0"/>
            <wp:wrapNone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水溶液中的离子反应与平衡</w:t>
      </w:r>
    </w:p>
    <w:p>
      <w:pPr>
        <w:numPr>
          <w:ilvl w:val="0"/>
          <w:numId w:val="2"/>
        </w:num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水的电离和溶液的pH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第三课时 酸碱中和滴定</w:t>
      </w:r>
    </w:p>
    <w:p>
      <w:pPr>
        <w:spacing w:line="360" w:lineRule="auto"/>
        <w:jc w:val="both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【学习目标】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1.理解酸碱中和滴定的原理。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2.初步掌握中和滴定的仪器、操作,中和滴定的误差分析及其计算。</w:t>
      </w:r>
      <w:r>
        <w:ptab w:relativeTo="margin" w:alignment="right" w:leader="none"/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【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学习重难点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】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酸碱中和滴定的原理；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2.实验仪器的选择、滴定终点的判断和误差分析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及相关计算。</w:t>
      </w:r>
    </w:p>
    <w:p>
      <w:pPr>
        <w:spacing w:line="360" w:lineRule="auto"/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学习过程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  <w:t>】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一、酸碱中和滴定操作原理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1.概念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依据中和反应,用已知浓度的酸(或碱)来测定未知浓度的</w:t>
      </w:r>
      <w:r>
        <w:rPr>
          <w:rFonts w:ascii="Times New Roman" w:hAnsi="Times New Roman" w:eastAsia="宋体" w:cs="Times New Roman"/>
          <w:sz w:val="21"/>
          <w:szCs w:val="21"/>
          <w:u w:val="single" w:color="000000"/>
        </w:rPr>
        <w:t>　　　　</w:t>
      </w:r>
      <w:r>
        <w:rPr>
          <w:rFonts w:ascii="Times New Roman" w:hAnsi="Times New Roman" w:eastAsia="宋体" w:cs="Times New Roman"/>
          <w:sz w:val="21"/>
          <w:szCs w:val="21"/>
        </w:rPr>
        <w:t xml:space="preserve"> (或</w:t>
      </w:r>
      <w:r>
        <w:rPr>
          <w:rFonts w:ascii="Times New Roman" w:hAnsi="Times New Roman" w:eastAsia="宋体" w:cs="Times New Roman"/>
          <w:sz w:val="21"/>
          <w:szCs w:val="21"/>
          <w:u w:val="single" w:color="000000"/>
        </w:rPr>
        <w:t>　　　　</w:t>
      </w:r>
      <w:r>
        <w:rPr>
          <w:rFonts w:ascii="Times New Roman" w:hAnsi="Times New Roman" w:eastAsia="宋体" w:cs="Times New Roman"/>
          <w:sz w:val="21"/>
          <w:szCs w:val="21"/>
        </w:rPr>
        <w:t>)的方法。 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2.原理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在中和反应中,酸提供的H</w:t>
      </w:r>
      <w:r>
        <w:rPr>
          <w:rFonts w:ascii="Times New Roman" w:hAnsi="Times New Roman" w:eastAsia="宋体" w:cs="Times New Roman"/>
          <w:sz w:val="21"/>
          <w:szCs w:val="21"/>
          <w:vertAlign w:val="superscript"/>
        </w:rPr>
        <w:t>+</w:t>
      </w:r>
      <w:r>
        <w:rPr>
          <w:rFonts w:ascii="Times New Roman" w:hAnsi="Times New Roman" w:eastAsia="宋体" w:cs="Times New Roman"/>
          <w:sz w:val="21"/>
          <w:szCs w:val="21"/>
        </w:rPr>
        <w:t>与碱提供的OH</w:t>
      </w:r>
      <w:r>
        <w:rPr>
          <w:rFonts w:ascii="Times New Roman" w:hAnsi="Times New Roman" w:eastAsia="宋体" w:cs="Times New Roman"/>
          <w:sz w:val="21"/>
          <w:szCs w:val="21"/>
          <w:vertAlign w:val="superscript"/>
        </w:rPr>
        <w:t>-</w:t>
      </w:r>
      <w:r>
        <w:rPr>
          <w:rFonts w:ascii="Times New Roman" w:hAnsi="Times New Roman" w:eastAsia="宋体" w:cs="Times New Roman"/>
          <w:sz w:val="21"/>
          <w:szCs w:val="21"/>
        </w:rPr>
        <w:t>之间的</w:t>
      </w:r>
      <w:r>
        <w:rPr>
          <w:rFonts w:ascii="Times New Roman" w:hAnsi="Times New Roman" w:eastAsia="宋体" w:cs="Times New Roman"/>
          <w:sz w:val="21"/>
          <w:szCs w:val="21"/>
          <w:u w:val="single" w:color="000000"/>
        </w:rPr>
        <w:t>　　　　　　</w:t>
      </w:r>
      <w:r>
        <w:rPr>
          <w:rFonts w:ascii="Times New Roman" w:hAnsi="Times New Roman" w:eastAsia="宋体" w:cs="Times New Roman"/>
          <w:sz w:val="21"/>
          <w:szCs w:val="21"/>
        </w:rPr>
        <w:t>相等。即</w:t>
      </w:r>
      <w:r>
        <w:rPr>
          <w:rFonts w:ascii="Times New Roman" w:hAnsi="Times New Roman" w:eastAsia="宋体" w:cs="Times New Roman"/>
          <w:i/>
          <w:sz w:val="21"/>
          <w:szCs w:val="21"/>
        </w:rPr>
        <w:t>c</w:t>
      </w:r>
      <w:r>
        <w:rPr>
          <w:rFonts w:ascii="Times New Roman" w:hAnsi="Times New Roman" w:eastAsia="宋体" w:cs="Times New Roman"/>
          <w:sz w:val="21"/>
          <w:szCs w:val="21"/>
        </w:rPr>
        <w:t>(H</w:t>
      </w:r>
      <w:r>
        <w:rPr>
          <w:rFonts w:ascii="Times New Roman" w:hAnsi="Times New Roman" w:eastAsia="宋体" w:cs="Times New Roman"/>
          <w:sz w:val="21"/>
          <w:szCs w:val="21"/>
          <w:vertAlign w:val="superscript"/>
        </w:rPr>
        <w:t>+</w:t>
      </w:r>
      <w:r>
        <w:rPr>
          <w:rFonts w:ascii="Times New Roman" w:hAnsi="Times New Roman" w:eastAsia="宋体" w:cs="Times New Roman"/>
          <w:sz w:val="21"/>
          <w:szCs w:val="21"/>
        </w:rPr>
        <w:t>)·</w:t>
      </w:r>
      <w:r>
        <w:rPr>
          <w:rFonts w:ascii="Times New Roman" w:hAnsi="Times New Roman" w:eastAsia="宋体" w:cs="Times New Roman"/>
          <w:i/>
          <w:sz w:val="21"/>
          <w:szCs w:val="21"/>
        </w:rPr>
        <w:t>V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酸</w:t>
      </w:r>
      <w:r>
        <w:rPr>
          <w:rFonts w:ascii="Times New Roman" w:hAnsi="Times New Roman" w:eastAsia="宋体" w:cs="Times New Roman"/>
          <w:sz w:val="21"/>
          <w:szCs w:val="21"/>
        </w:rPr>
        <w:t>=</w:t>
      </w:r>
      <w:r>
        <w:rPr>
          <w:rFonts w:ascii="Times New Roman" w:hAnsi="Times New Roman" w:eastAsia="宋体" w:cs="Times New Roman"/>
          <w:i/>
          <w:sz w:val="21"/>
          <w:szCs w:val="21"/>
        </w:rPr>
        <w:t>c</w:t>
      </w:r>
      <w:r>
        <w:rPr>
          <w:rFonts w:ascii="Times New Roman" w:hAnsi="Times New Roman" w:eastAsia="宋体" w:cs="Times New Roman"/>
          <w:sz w:val="21"/>
          <w:szCs w:val="21"/>
        </w:rPr>
        <w:t>(OH</w:t>
      </w:r>
      <w:r>
        <w:rPr>
          <w:rFonts w:ascii="Times New Roman" w:hAnsi="Times New Roman" w:eastAsia="宋体" w:cs="Times New Roman"/>
          <w:sz w:val="21"/>
          <w:szCs w:val="21"/>
          <w:vertAlign w:val="superscript"/>
        </w:rPr>
        <w:t>-</w:t>
      </w:r>
      <w:r>
        <w:rPr>
          <w:rFonts w:ascii="Times New Roman" w:hAnsi="Times New Roman" w:eastAsia="宋体" w:cs="Times New Roman"/>
          <w:sz w:val="21"/>
          <w:szCs w:val="21"/>
        </w:rPr>
        <w:t>)·</w:t>
      </w:r>
      <w:r>
        <w:rPr>
          <w:rFonts w:ascii="Times New Roman" w:hAnsi="Times New Roman" w:eastAsia="宋体" w:cs="Times New Roman"/>
          <w:i/>
          <w:sz w:val="21"/>
          <w:szCs w:val="21"/>
        </w:rPr>
        <w:t>V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碱</w:t>
      </w:r>
      <w:r>
        <w:rPr>
          <w:rFonts w:ascii="Times New Roman" w:hAnsi="Times New Roman" w:eastAsia="宋体" w:cs="Times New Roman"/>
          <w:sz w:val="21"/>
          <w:szCs w:val="21"/>
        </w:rPr>
        <w:t>,以标准盐酸滴定待测的NaOH溶液,待测的NaOH溶液的物质的量浓度为</w:t>
      </w:r>
      <w:r>
        <w:rPr>
          <w:rFonts w:ascii="Times New Roman" w:hAnsi="Times New Roman" w:eastAsia="宋体" w:cs="Times New Roman"/>
          <w:i/>
          <w:sz w:val="21"/>
          <w:szCs w:val="21"/>
        </w:rPr>
        <w:t>c</w:t>
      </w:r>
      <w:r>
        <w:rPr>
          <w:rFonts w:ascii="Times New Roman" w:hAnsi="Times New Roman" w:eastAsia="宋体" w:cs="Times New Roman"/>
          <w:sz w:val="21"/>
          <w:szCs w:val="21"/>
        </w:rPr>
        <w:t>(NaOH)=</w:t>
      </w:r>
      <m:oMath>
        <m:f>
          <m:fPr>
            <m:ctrlPr>
              <w:rPr>
                <w:rFonts w:ascii="Cambria Math" w:hAnsi="Cambria Math" w:eastAsia="宋体" w:cs="Times New Roman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 w:eastAsia="宋体" w:cs="Times New Roman"/>
                <w:sz w:val="21"/>
                <w:szCs w:val="21"/>
              </w:rPr>
              <m:t>c</m:t>
            </m:r>
            <m:r>
              <m:rPr>
                <m:nor/>
                <m:sty m:val="p"/>
              </m:rPr>
              <w:rPr>
                <w:rFonts w:ascii="Cambria Math" w:hAnsi="Cambria Math" w:eastAsia="宋体" w:cs="Times New Roman"/>
                <w:b w:val="0"/>
                <w:i w:val="0"/>
                <w:sz w:val="21"/>
                <w:szCs w:val="21"/>
              </w:rPr>
              <m:t>(HCl)·</m:t>
            </m:r>
            <m:r>
              <m:rPr/>
              <w:rPr>
                <w:rFonts w:ascii="Cambria Math" w:hAnsi="Cambria Math" w:eastAsia="宋体" w:cs="Times New Roman"/>
                <w:sz w:val="21"/>
                <w:szCs w:val="21"/>
              </w:rPr>
              <m:t>V</m:t>
            </m:r>
            <m:r>
              <m:rPr>
                <m:nor/>
                <m:sty m:val="p"/>
              </m:rPr>
              <w:rPr>
                <w:rFonts w:ascii="Cambria Math" w:hAnsi="Cambria Math" w:eastAsia="宋体" w:cs="Times New Roman"/>
                <w:b w:val="0"/>
                <w:i w:val="0"/>
                <w:sz w:val="21"/>
                <w:szCs w:val="21"/>
              </w:rPr>
              <m:t>[HCl(aq)]</m:t>
            </m:r>
            <m:ctrlPr>
              <w:rPr>
                <w:rFonts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 w:eastAsia="宋体" w:cs="Times New Roman"/>
                <w:sz w:val="21"/>
                <w:szCs w:val="21"/>
              </w:rPr>
              <m:t>V</m:t>
            </m:r>
            <m:r>
              <m:rPr>
                <m:nor/>
                <m:sty m:val="p"/>
              </m:rPr>
              <w:rPr>
                <w:rFonts w:ascii="Cambria Math" w:hAnsi="Cambria Math" w:eastAsia="宋体" w:cs="Times New Roman"/>
                <w:b w:val="0"/>
                <w:i w:val="0"/>
                <w:sz w:val="21"/>
                <w:szCs w:val="21"/>
              </w:rPr>
              <m:t>[NaOH(aq)]</m:t>
            </m:r>
            <m:ctrlPr>
              <w:rPr>
                <w:rFonts w:ascii="Cambria Math" w:hAnsi="Cambria Math" w:eastAsia="宋体" w:cs="Times New Roman"/>
                <w:sz w:val="21"/>
                <w:szCs w:val="21"/>
              </w:rPr>
            </m:ctrlPr>
          </m:den>
        </m:f>
      </m:oMath>
      <w:r>
        <w:rPr>
          <w:rFonts w:ascii="Times New Roman" w:hAnsi="Times New Roman" w:eastAsia="宋体" w:cs="Times New Roman"/>
          <w:sz w:val="21"/>
          <w:szCs w:val="21"/>
        </w:rPr>
        <w:t>。 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3.主要仪器使用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(1)仪器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  <w:u w:val="single" w:color="000000"/>
        </w:rPr>
        <w:t>　　　</w:t>
      </w:r>
      <w:r>
        <w:rPr>
          <w:rFonts w:hint="eastAsia" w:ascii="Times New Roman" w:hAnsi="Times New Roman" w:eastAsia="宋体" w:cs="Times New Roman"/>
          <w:sz w:val="21"/>
          <w:szCs w:val="21"/>
          <w:u w:val="single" w:color="000000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  <w:sz w:val="21"/>
          <w:szCs w:val="21"/>
          <w:u w:val="single" w:color="000000"/>
        </w:rPr>
        <w:t>　</w:t>
      </w:r>
      <w:r>
        <w:rPr>
          <w:rFonts w:ascii="Times New Roman" w:hAnsi="Times New Roman" w:eastAsia="宋体" w:cs="Times New Roman"/>
          <w:sz w:val="21"/>
          <w:szCs w:val="21"/>
        </w:rPr>
        <w:t>(图A)、</w:t>
      </w:r>
      <w:r>
        <w:rPr>
          <w:rFonts w:ascii="Times New Roman" w:hAnsi="Times New Roman" w:eastAsia="宋体" w:cs="Times New Roman"/>
          <w:sz w:val="21"/>
          <w:szCs w:val="21"/>
          <w:u w:val="single" w:color="000000"/>
        </w:rPr>
        <w:t>　　</w:t>
      </w:r>
      <w:r>
        <w:rPr>
          <w:rFonts w:hint="eastAsia" w:ascii="Times New Roman" w:hAnsi="Times New Roman" w:eastAsia="宋体" w:cs="Times New Roman"/>
          <w:sz w:val="21"/>
          <w:szCs w:val="21"/>
          <w:u w:val="single" w:color="000000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  <w:sz w:val="21"/>
          <w:szCs w:val="21"/>
          <w:u w:val="single" w:color="000000"/>
        </w:rPr>
        <w:t>　　</w:t>
      </w:r>
      <w:r>
        <w:rPr>
          <w:rFonts w:ascii="Times New Roman" w:hAnsi="Times New Roman" w:eastAsia="宋体" w:cs="Times New Roman"/>
          <w:sz w:val="21"/>
          <w:szCs w:val="21"/>
        </w:rPr>
        <w:t>(图B)、滴定管夹、铁架台、锥形瓶。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2023110" cy="1556385"/>
            <wp:effectExtent l="0" t="0" r="8890" b="5715"/>
            <wp:docPr id="1288" name="23DXAG2HXRJXZXBX1T3-12.eps" descr="id:21475108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" name="23DXAG2HXRJXZXBX1T3-12.eps" descr="id:214751082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(2)试剂:标准液、待测液、指示剂、蒸馏水。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(3)滴定管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①构造:“0”刻度线在上方,尖嘴部分无刻度。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②精确度:读数可精确到</w:t>
      </w:r>
      <w:r>
        <w:rPr>
          <w:rFonts w:ascii="Times New Roman" w:hAnsi="Times New Roman" w:eastAsia="宋体" w:cs="Times New Roman"/>
          <w:sz w:val="21"/>
          <w:szCs w:val="21"/>
          <w:u w:val="single" w:color="000000"/>
        </w:rPr>
        <w:t>　　　　</w:t>
      </w:r>
      <w:r>
        <w:rPr>
          <w:rFonts w:ascii="Times New Roman" w:hAnsi="Times New Roman" w:eastAsia="宋体" w:cs="Times New Roman"/>
          <w:sz w:val="21"/>
          <w:szCs w:val="21"/>
        </w:rPr>
        <w:t>mL。 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③洗涤:先用蒸馏水洗涤,再用</w:t>
      </w:r>
      <w:r>
        <w:rPr>
          <w:rFonts w:ascii="Times New Roman" w:hAnsi="Times New Roman" w:eastAsia="宋体" w:cs="Times New Roman"/>
          <w:sz w:val="21"/>
          <w:szCs w:val="21"/>
          <w:u w:val="single" w:color="000000"/>
        </w:rPr>
        <w:t>　　　　</w:t>
      </w:r>
      <w:r>
        <w:rPr>
          <w:rFonts w:ascii="Times New Roman" w:hAnsi="Times New Roman" w:eastAsia="宋体" w:cs="Times New Roman"/>
          <w:sz w:val="21"/>
          <w:szCs w:val="21"/>
        </w:rPr>
        <w:t>润洗。 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④排泡:酸、碱式滴定管中的液体在滴定前均要排出尖嘴中的气泡。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⑤使用注意事项</w:t>
      </w:r>
    </w:p>
    <w:tbl>
      <w:tblPr>
        <w:tblStyle w:val="4"/>
        <w:tblW w:w="4753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2372"/>
        <w:gridCol w:w="5313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试剂性质</w:t>
            </w:r>
          </w:p>
        </w:tc>
        <w:tc>
          <w:tcPr>
            <w:tcW w:w="1274" w:type="pct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滴定管</w:t>
            </w:r>
          </w:p>
        </w:tc>
        <w:tc>
          <w:tcPr>
            <w:tcW w:w="2853" w:type="pct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原因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酸性、氧化性</w:t>
            </w:r>
          </w:p>
        </w:tc>
        <w:tc>
          <w:tcPr>
            <w:tcW w:w="1274" w:type="pct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滴定管</w:t>
            </w:r>
          </w:p>
        </w:tc>
        <w:tc>
          <w:tcPr>
            <w:tcW w:w="2853" w:type="pct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氧化性物质易腐蚀橡胶管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碱性</w:t>
            </w:r>
          </w:p>
        </w:tc>
        <w:tc>
          <w:tcPr>
            <w:tcW w:w="1274" w:type="pct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滴定管</w:t>
            </w:r>
          </w:p>
        </w:tc>
        <w:tc>
          <w:tcPr>
            <w:tcW w:w="2853" w:type="pct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碱性物质易腐蚀玻璃,致使玻璃活塞无法打开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宋体" w:cs="Times New Roman"/>
          <w:sz w:val="21"/>
          <w:szCs w:val="21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二、中和滴定操作及数据处理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1.实验操作(以标准盐酸滴定待测NaOH溶液为例)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(1)滴定前的准备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①滴定管:查漏→洗涤→润洗→装液→调液面→记录。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②锥形瓶:注碱液→记读数→加酚酞指示剂。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(2)滴定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1765300" cy="925830"/>
            <wp:effectExtent l="0" t="0" r="0" b="1270"/>
            <wp:docPr id="1289" name="21HXDXAXJCRJXZXBX1D3T6.eps" descr="id:21475108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" name="21HXDXAXJCRJXZXBX1D3T6.eps" descr="id:2147510835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(3)终点判断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滴入最后半滴标准液,溶液由粉红色变为无色,且在半分钟内不恢复原来的颜色,视为滴定终点并记录标准液的体积。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2.常见酸碱指示剂的变色范围</w:t>
      </w:r>
    </w:p>
    <w:tbl>
      <w:tblPr>
        <w:tblStyle w:val="4"/>
        <w:tblW w:w="4239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473"/>
        <w:gridCol w:w="2067"/>
        <w:gridCol w:w="2749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指示剂</w:t>
            </w:r>
          </w:p>
        </w:tc>
        <w:tc>
          <w:tcPr>
            <w:tcW w:w="4408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变色范围(颜色与pH的关系)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石蕊</w:t>
            </w:r>
          </w:p>
        </w:tc>
        <w:tc>
          <w:tcPr>
            <w:tcW w:w="1496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&lt;5.0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u w:val="single" w:color="000000"/>
              </w:rPr>
              <w:t>　　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色 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5.0~8.0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u w:val="single" w:color="000000"/>
              </w:rPr>
              <w:t>　　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色 </w:t>
            </w:r>
          </w:p>
        </w:tc>
        <w:tc>
          <w:tcPr>
            <w:tcW w:w="1661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&gt;8.0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u w:val="single" w:color="000000"/>
              </w:rPr>
              <w:t>　　　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色 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酚酞</w:t>
            </w:r>
          </w:p>
        </w:tc>
        <w:tc>
          <w:tcPr>
            <w:tcW w:w="1496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&lt;8.2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u w:val="single" w:color="000000"/>
              </w:rPr>
              <w:t>　　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色 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8.2~10.0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u w:val="single" w:color="000000"/>
              </w:rPr>
              <w:t>　　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色 </w:t>
            </w:r>
          </w:p>
        </w:tc>
        <w:tc>
          <w:tcPr>
            <w:tcW w:w="1661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&gt;10.0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u w:val="single" w:color="000000"/>
              </w:rPr>
              <w:t>　　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色 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甲基橙</w:t>
            </w:r>
          </w:p>
        </w:tc>
        <w:tc>
          <w:tcPr>
            <w:tcW w:w="1496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&lt;3.1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u w:val="single" w:color="000000"/>
              </w:rPr>
              <w:t>　　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色 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3.1~4.4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u w:val="single" w:color="000000"/>
              </w:rPr>
              <w:t>　　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色 </w:t>
            </w:r>
          </w:p>
        </w:tc>
        <w:tc>
          <w:tcPr>
            <w:tcW w:w="1661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&gt;4.4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u w:val="single" w:color="000000"/>
              </w:rPr>
              <w:t>　　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色 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宋体" w:cs="Times New Roman"/>
          <w:sz w:val="21"/>
          <w:szCs w:val="21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三、实验数据的处理及滴定曲线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1.实验数据的处理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重复滴定操作2~3次,取消耗标准溶液体积的平均值,根据</w:t>
      </w:r>
      <w:r>
        <w:rPr>
          <w:rFonts w:ascii="Times New Roman" w:hAnsi="Times New Roman" w:eastAsia="宋体" w:cs="Times New Roman"/>
          <w:i/>
          <w:sz w:val="21"/>
          <w:szCs w:val="21"/>
        </w:rPr>
        <w:t>c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(NaOH)</w:t>
      </w:r>
      <w:r>
        <w:rPr>
          <w:rFonts w:ascii="Times New Roman" w:hAnsi="Times New Roman" w:eastAsia="宋体" w:cs="Times New Roman"/>
          <w:sz w:val="21"/>
          <w:szCs w:val="21"/>
        </w:rPr>
        <w:t>=</w:t>
      </w:r>
      <m:oMath>
        <m:f>
          <m:fPr>
            <m:ctrlPr>
              <w:rPr>
                <w:rFonts w:ascii="Cambria Math" w:hAnsi="Cambria Math" w:eastAsia="宋体" w:cs="Times New Roman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 w:eastAsia="宋体" w:cs="Times New Roman"/>
                <w:sz w:val="21"/>
                <w:szCs w:val="21"/>
              </w:rPr>
              <m:t>c</m:t>
            </m:r>
            <m:r>
              <m:rPr>
                <m:nor/>
                <m:sty m:val="p"/>
              </m:rPr>
              <w:rPr>
                <w:rFonts w:ascii="Cambria Math" w:hAnsi="Cambria Math" w:eastAsia="宋体" w:cs="Times New Roman"/>
                <w:b w:val="0"/>
                <w:i w:val="0"/>
                <w:sz w:val="21"/>
                <w:szCs w:val="21"/>
              </w:rPr>
              <m:t>(HCl)·</m:t>
            </m:r>
            <m:r>
              <m:rPr/>
              <w:rPr>
                <w:rFonts w:ascii="Cambria Math" w:hAnsi="Cambria Math" w:eastAsia="宋体" w:cs="Times New Roman"/>
                <w:sz w:val="21"/>
                <w:szCs w:val="21"/>
              </w:rPr>
              <m:t>V</m:t>
            </m:r>
            <m:r>
              <m:rPr>
                <m:nor/>
                <m:sty m:val="p"/>
              </m:rPr>
              <w:rPr>
                <w:rFonts w:ascii="Cambria Math" w:hAnsi="Cambria Math" w:eastAsia="宋体" w:cs="Times New Roman"/>
                <w:b w:val="0"/>
                <w:i w:val="0"/>
                <w:sz w:val="21"/>
                <w:szCs w:val="21"/>
              </w:rPr>
              <m:t>[HCl(aq)]</m:t>
            </m:r>
            <m:ctrlPr>
              <w:rPr>
                <w:rFonts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 w:eastAsia="宋体" w:cs="Times New Roman"/>
                <w:sz w:val="21"/>
                <w:szCs w:val="21"/>
              </w:rPr>
              <m:t>V</m:t>
            </m:r>
            <m:r>
              <m:rPr>
                <m:nor/>
                <m:sty m:val="p"/>
              </m:rPr>
              <w:rPr>
                <w:rFonts w:ascii="Cambria Math" w:hAnsi="Cambria Math" w:eastAsia="宋体" w:cs="Times New Roman"/>
                <w:b w:val="0"/>
                <w:i w:val="0"/>
                <w:sz w:val="21"/>
                <w:szCs w:val="21"/>
              </w:rPr>
              <m:t>[NaOH(aq)]</m:t>
            </m:r>
            <m:ctrlPr>
              <w:rPr>
                <w:rFonts w:ascii="Cambria Math" w:hAnsi="Cambria Math" w:eastAsia="宋体" w:cs="Times New Roman"/>
                <w:sz w:val="21"/>
                <w:szCs w:val="21"/>
              </w:rPr>
            </m:ctrlPr>
          </m:den>
        </m:f>
      </m:oMath>
      <w:r>
        <w:rPr>
          <w:rFonts w:ascii="Times New Roman" w:hAnsi="Times New Roman" w:eastAsia="宋体" w:cs="Times New Roman"/>
          <w:sz w:val="21"/>
          <w:szCs w:val="21"/>
        </w:rPr>
        <w:t>,计算出待测NaOH溶液的浓度。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2.中和滴定曲线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(1)以滴加酸(或碱)的量为横坐标,以溶液的pH为纵坐标绘出一条溶液的pH随酸(或碱)的滴加量而变化的曲线。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2366010" cy="1369695"/>
            <wp:effectExtent l="0" t="0" r="8890" b="1905"/>
            <wp:docPr id="1290" name="23DXAG2HXRJXZXBX1T3-13.eps" descr="id:21475108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" name="23DXAG2HXRJXZXBX1T3-13.eps" descr="id:2147510850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(2)用0.1000 mol·L</w:t>
      </w:r>
      <w:r>
        <w:rPr>
          <w:rFonts w:ascii="Times New Roman" w:hAnsi="Times New Roman" w:eastAsia="宋体" w:cs="Times New Roman"/>
          <w:sz w:val="21"/>
          <w:szCs w:val="21"/>
          <w:vertAlign w:val="superscript"/>
        </w:rPr>
        <w:t>-1</w:t>
      </w:r>
      <w:r>
        <w:rPr>
          <w:rFonts w:ascii="Times New Roman" w:hAnsi="Times New Roman" w:eastAsia="宋体" w:cs="Times New Roman"/>
          <w:sz w:val="21"/>
          <w:szCs w:val="21"/>
        </w:rPr>
        <w:t xml:space="preserve"> NaOH溶液滴定20.00 mL 0.1000 mol·L</w:t>
      </w:r>
      <w:r>
        <w:rPr>
          <w:rFonts w:ascii="Times New Roman" w:hAnsi="Times New Roman" w:eastAsia="宋体" w:cs="Times New Roman"/>
          <w:sz w:val="21"/>
          <w:szCs w:val="21"/>
          <w:vertAlign w:val="superscript"/>
        </w:rPr>
        <w:t>-1</w:t>
      </w:r>
      <w:r>
        <w:rPr>
          <w:rFonts w:ascii="Times New Roman" w:hAnsi="Times New Roman" w:eastAsia="宋体" w:cs="Times New Roman"/>
          <w:sz w:val="21"/>
          <w:szCs w:val="21"/>
        </w:rPr>
        <w:t xml:space="preserve"> HCl溶液过程中的pH变化曲线如图所示。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(3)由曲线可以看出,在酸碱中和滴定过程中,溶液的pH在接近滴定终点时有一个突变过程,在此范围内,滴加很少的酸(或碱),溶液的pH就有很大的变化,能使指示剂的颜色发生明显变化,有利于确定滴定终点。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四、中和滴定误差分析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酸碱中和滴定的误差分析关键是根据</w:t>
      </w:r>
      <w:r>
        <w:rPr>
          <w:rFonts w:ascii="Times New Roman" w:hAnsi="Times New Roman" w:eastAsia="宋体" w:cs="Times New Roman"/>
          <w:i/>
          <w:sz w:val="21"/>
          <w:szCs w:val="21"/>
        </w:rPr>
        <w:t>c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待</w:t>
      </w:r>
      <w:r>
        <w:rPr>
          <w:rFonts w:ascii="Times New Roman" w:hAnsi="Times New Roman" w:eastAsia="宋体" w:cs="Times New Roman"/>
          <w:sz w:val="21"/>
          <w:szCs w:val="21"/>
        </w:rPr>
        <w:t>=</w:t>
      </w:r>
      <m:oMath>
        <m:f>
          <m:fPr>
            <m:ctrlPr>
              <w:rPr>
                <w:rFonts w:ascii="Cambria Math" w:hAnsi="Cambria Math" w:eastAsia="宋体" w:cs="Times New Roman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="宋体" w:cs="Times New Roman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Times New Roman"/>
                    <w:sz w:val="21"/>
                    <w:szCs w:val="21"/>
                  </w:rPr>
                  <m:t>c</m:t>
                </m:r>
                <m:ctrlPr>
                  <w:rPr>
                    <w:rFonts w:ascii="Cambria Math" w:hAnsi="Cambria Math" w:eastAsia="宋体" w:cs="Times New Roman"/>
                    <w:sz w:val="21"/>
                    <w:szCs w:val="21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ascii="Cambria Math" w:hAnsi="Cambria Math" w:eastAsia="宋体" w:cs="Times New Roman"/>
                    <w:b w:val="0"/>
                    <w:i w:val="0"/>
                    <w:sz w:val="21"/>
                    <w:szCs w:val="21"/>
                  </w:rPr>
                  <m:t>标</m:t>
                </m:r>
                <m:ctrlPr>
                  <w:rPr>
                    <w:rFonts w:ascii="Cambria Math" w:hAnsi="Cambria Math" w:eastAsia="宋体" w:cs="Times New Roman"/>
                    <w:sz w:val="21"/>
                    <w:szCs w:val="21"/>
                  </w:rPr>
                </m:ctrlPr>
              </m:sub>
            </m:sSub>
            <m:r>
              <m:rPr>
                <m:nor/>
                <m:sty m:val="p"/>
              </m:rPr>
              <w:rPr>
                <w:rFonts w:ascii="Cambria Math" w:hAnsi="Cambria Math" w:eastAsia="宋体" w:cs="Times New Roman"/>
                <w:b w:val="0"/>
                <w:i w:val="0"/>
                <w:sz w:val="21"/>
                <w:szCs w:val="21"/>
              </w:rPr>
              <m:t>·</m:t>
            </m:r>
            <m:sSub>
              <m:sSubPr>
                <m:ctrlPr>
                  <w:rPr>
                    <w:rFonts w:ascii="Cambria Math" w:hAnsi="Cambria Math" w:eastAsia="宋体" w:cs="Times New Roman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Times New Roman"/>
                    <w:sz w:val="21"/>
                    <w:szCs w:val="21"/>
                  </w:rPr>
                  <m:t>V</m:t>
                </m:r>
                <m:ctrlPr>
                  <w:rPr>
                    <w:rFonts w:ascii="Cambria Math" w:hAnsi="Cambria Math" w:eastAsia="宋体" w:cs="Times New Roman"/>
                    <w:sz w:val="21"/>
                    <w:szCs w:val="21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ascii="Cambria Math" w:hAnsi="Cambria Math" w:eastAsia="宋体" w:cs="Times New Roman"/>
                    <w:b w:val="0"/>
                    <w:i w:val="0"/>
                    <w:sz w:val="21"/>
                    <w:szCs w:val="21"/>
                  </w:rPr>
                  <m:t>标</m:t>
                </m:r>
                <m:ctrlPr>
                  <w:rPr>
                    <w:rFonts w:ascii="Cambria Math" w:hAnsi="Cambria Math" w:eastAsia="宋体" w:cs="Times New Roman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 w:cs="Times New Roman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 w:cs="Times New Roman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Times New Roman"/>
                    <w:sz w:val="21"/>
                    <w:szCs w:val="21"/>
                  </w:rPr>
                  <m:t>V</m:t>
                </m:r>
                <m:ctrlPr>
                  <w:rPr>
                    <w:rFonts w:ascii="Cambria Math" w:hAnsi="Cambria Math" w:eastAsia="宋体" w:cs="Times New Roman"/>
                    <w:sz w:val="21"/>
                    <w:szCs w:val="21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ascii="Cambria Math" w:hAnsi="Cambria Math" w:eastAsia="宋体" w:cs="Times New Roman"/>
                    <w:b w:val="0"/>
                    <w:i w:val="0"/>
                    <w:sz w:val="21"/>
                    <w:szCs w:val="21"/>
                  </w:rPr>
                  <m:t>待</m:t>
                </m:r>
                <m:ctrlPr>
                  <w:rPr>
                    <w:rFonts w:ascii="Cambria Math" w:hAnsi="Cambria Math" w:eastAsia="宋体" w:cs="Times New Roman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eastAsia="宋体" w:cs="Times New Roman"/>
                <w:sz w:val="21"/>
                <w:szCs w:val="21"/>
              </w:rPr>
            </m:ctrlPr>
          </m:den>
        </m:f>
      </m:oMath>
      <w:r>
        <w:rPr>
          <w:rFonts w:ascii="Times New Roman" w:hAnsi="Times New Roman" w:eastAsia="宋体" w:cs="Times New Roman"/>
          <w:sz w:val="21"/>
          <w:szCs w:val="21"/>
        </w:rPr>
        <w:t>进行分析,计算中</w:t>
      </w:r>
      <w:r>
        <w:rPr>
          <w:rFonts w:ascii="Times New Roman" w:hAnsi="Times New Roman" w:eastAsia="宋体" w:cs="Times New Roman"/>
          <w:i/>
          <w:sz w:val="21"/>
          <w:szCs w:val="21"/>
        </w:rPr>
        <w:t>V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待</w:t>
      </w:r>
      <w:r>
        <w:rPr>
          <w:rFonts w:ascii="Times New Roman" w:hAnsi="Times New Roman" w:eastAsia="宋体" w:cs="Times New Roman"/>
          <w:sz w:val="21"/>
          <w:szCs w:val="21"/>
        </w:rPr>
        <w:t>与</w:t>
      </w:r>
      <w:r>
        <w:rPr>
          <w:rFonts w:ascii="Times New Roman" w:hAnsi="Times New Roman" w:eastAsia="宋体" w:cs="Times New Roman"/>
          <w:i/>
          <w:sz w:val="21"/>
          <w:szCs w:val="21"/>
        </w:rPr>
        <w:t>c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标</w:t>
      </w:r>
      <w:r>
        <w:rPr>
          <w:rFonts w:ascii="Times New Roman" w:hAnsi="Times New Roman" w:eastAsia="宋体" w:cs="Times New Roman"/>
          <w:sz w:val="21"/>
          <w:szCs w:val="21"/>
        </w:rPr>
        <w:t>均为确定值,只有</w:t>
      </w:r>
      <w:r>
        <w:rPr>
          <w:rFonts w:ascii="Times New Roman" w:hAnsi="Times New Roman" w:eastAsia="宋体" w:cs="Times New Roman"/>
          <w:i/>
          <w:sz w:val="21"/>
          <w:szCs w:val="21"/>
        </w:rPr>
        <w:t>V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标</w:t>
      </w:r>
      <w:r>
        <w:rPr>
          <w:rFonts w:ascii="Times New Roman" w:hAnsi="Times New Roman" w:eastAsia="宋体" w:cs="Times New Roman"/>
          <w:sz w:val="21"/>
          <w:szCs w:val="21"/>
        </w:rPr>
        <w:t>影响着</w:t>
      </w:r>
      <w:r>
        <w:rPr>
          <w:rFonts w:ascii="Times New Roman" w:hAnsi="Times New Roman" w:eastAsia="宋体" w:cs="Times New Roman"/>
          <w:i/>
          <w:sz w:val="21"/>
          <w:szCs w:val="21"/>
        </w:rPr>
        <w:t>c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待</w:t>
      </w:r>
      <w:r>
        <w:rPr>
          <w:rFonts w:ascii="Times New Roman" w:hAnsi="Times New Roman" w:eastAsia="宋体" w:cs="Times New Roman"/>
          <w:sz w:val="21"/>
          <w:szCs w:val="21"/>
        </w:rPr>
        <w:t>的计算结果,故在误差分析时应最终归结为对</w:t>
      </w:r>
      <w:r>
        <w:rPr>
          <w:rFonts w:ascii="Times New Roman" w:hAnsi="Times New Roman" w:eastAsia="宋体" w:cs="Times New Roman"/>
          <w:i/>
          <w:sz w:val="21"/>
          <w:szCs w:val="21"/>
        </w:rPr>
        <w:t>V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标</w:t>
      </w:r>
      <w:r>
        <w:rPr>
          <w:rFonts w:ascii="Times New Roman" w:hAnsi="Times New Roman" w:eastAsia="宋体" w:cs="Times New Roman"/>
          <w:sz w:val="21"/>
          <w:szCs w:val="21"/>
        </w:rPr>
        <w:t>的影响:</w:t>
      </w:r>
      <w:r>
        <w:rPr>
          <w:rFonts w:ascii="Times New Roman" w:hAnsi="Times New Roman" w:eastAsia="宋体" w:cs="Times New Roman"/>
          <w:i/>
          <w:sz w:val="21"/>
          <w:szCs w:val="21"/>
        </w:rPr>
        <w:t>V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标</w:t>
      </w:r>
      <w:r>
        <w:rPr>
          <w:rFonts w:ascii="Times New Roman" w:hAnsi="Times New Roman" w:eastAsia="宋体" w:cs="Times New Roman"/>
          <w:sz w:val="21"/>
          <w:szCs w:val="21"/>
        </w:rPr>
        <w:t>增大,实验结果</w:t>
      </w:r>
      <w:r>
        <w:rPr>
          <w:rFonts w:ascii="Times New Roman" w:hAnsi="Times New Roman" w:eastAsia="宋体" w:cs="Times New Roman"/>
          <w:sz w:val="21"/>
          <w:szCs w:val="21"/>
          <w:u w:val="single" w:color="000000"/>
        </w:rPr>
        <w:t>　　　　</w:t>
      </w:r>
      <w:r>
        <w:rPr>
          <w:rFonts w:ascii="Times New Roman" w:hAnsi="Times New Roman" w:eastAsia="宋体" w:cs="Times New Roman"/>
          <w:sz w:val="21"/>
          <w:szCs w:val="21"/>
        </w:rPr>
        <w:t>;</w:t>
      </w:r>
      <w:r>
        <w:rPr>
          <w:rFonts w:ascii="Times New Roman" w:hAnsi="Times New Roman" w:eastAsia="宋体" w:cs="Times New Roman"/>
          <w:i/>
          <w:sz w:val="21"/>
          <w:szCs w:val="21"/>
        </w:rPr>
        <w:t>V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标</w:t>
      </w:r>
      <w:r>
        <w:rPr>
          <w:rFonts w:ascii="Times New Roman" w:hAnsi="Times New Roman" w:eastAsia="宋体" w:cs="Times New Roman"/>
          <w:sz w:val="21"/>
          <w:szCs w:val="21"/>
        </w:rPr>
        <w:t>减小,实验结果</w:t>
      </w:r>
      <w:r>
        <w:rPr>
          <w:rFonts w:ascii="Times New Roman" w:hAnsi="Times New Roman" w:eastAsia="宋体" w:cs="Times New Roman"/>
          <w:sz w:val="21"/>
          <w:szCs w:val="21"/>
          <w:u w:val="single" w:color="000000"/>
        </w:rPr>
        <w:t>　　　　</w:t>
      </w:r>
      <w:r>
        <w:rPr>
          <w:rFonts w:ascii="Times New Roman" w:hAnsi="Times New Roman" w:eastAsia="宋体" w:cs="Times New Roman"/>
          <w:sz w:val="21"/>
          <w:szCs w:val="21"/>
        </w:rPr>
        <w:t>。 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【效果检测】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1.判断正误(正确的打“√”,错误的打“×”)。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(1)滴定管、锥形瓶均应先水洗后润洗。</w:t>
      </w:r>
      <w:r>
        <w:ptab w:relativeTo="margin" w:alignment="right" w:leader="none"/>
      </w:r>
      <w:r>
        <w:rPr>
          <w:rFonts w:ascii="Times New Roman" w:hAnsi="Times New Roman" w:eastAsia="宋体" w:cs="Times New Roman"/>
          <w:sz w:val="21"/>
          <w:szCs w:val="21"/>
        </w:rPr>
        <w:t>(　　)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(2)锥形瓶用蒸馏水洗净后要烘干。</w:t>
      </w:r>
      <w:r>
        <w:ptab w:relativeTo="margin" w:alignment="right" w:leader="none"/>
      </w:r>
      <w:r>
        <w:rPr>
          <w:rFonts w:ascii="Times New Roman" w:hAnsi="Times New Roman" w:eastAsia="宋体" w:cs="Times New Roman"/>
          <w:sz w:val="21"/>
          <w:szCs w:val="21"/>
        </w:rPr>
        <w:t>(　　)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(3)滴定终点就是酸碱恰好中和的点,溶液为中性。</w:t>
      </w:r>
      <w:r>
        <w:ptab w:relativeTo="margin" w:alignment="right" w:leader="none"/>
      </w:r>
      <w:r>
        <w:rPr>
          <w:rFonts w:ascii="Times New Roman" w:hAnsi="Times New Roman" w:eastAsia="宋体" w:cs="Times New Roman"/>
          <w:sz w:val="21"/>
          <w:szCs w:val="21"/>
        </w:rPr>
        <w:t>(　　)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(4)用碱式滴定管量取20.00 mL的高锰酸钾溶液。</w:t>
      </w:r>
      <w:r>
        <w:ptab w:relativeTo="margin" w:alignment="right" w:leader="none"/>
      </w:r>
      <w:r>
        <w:rPr>
          <w:rFonts w:ascii="Times New Roman" w:hAnsi="Times New Roman" w:eastAsia="宋体" w:cs="Times New Roman"/>
          <w:sz w:val="21"/>
          <w:szCs w:val="21"/>
        </w:rPr>
        <w:t>(　　)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(5)甲基橙的变色范围为酸性,而酚酞的变色范围为碱性。</w:t>
      </w:r>
      <w:r>
        <w:ptab w:relativeTo="margin" w:alignment="right" w:leader="none"/>
      </w:r>
      <w:r>
        <w:rPr>
          <w:rFonts w:ascii="Times New Roman" w:hAnsi="Times New Roman" w:eastAsia="宋体" w:cs="Times New Roman"/>
          <w:sz w:val="21"/>
          <w:szCs w:val="21"/>
        </w:rPr>
        <w:t>(　　)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(6)酸碱中和滴定实验一般不用石蕊作指示剂,是因为石蕊变色不明显。</w:t>
      </w:r>
      <w:r>
        <w:ptab w:relativeTo="margin" w:alignment="right" w:leader="none"/>
      </w:r>
      <w:r>
        <w:rPr>
          <w:rFonts w:ascii="Times New Roman" w:hAnsi="Times New Roman" w:eastAsia="宋体" w:cs="Times New Roman"/>
          <w:sz w:val="21"/>
          <w:szCs w:val="21"/>
        </w:rPr>
        <w:t>(　　)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(7)滴定实验中左手控制滴定管的活塞,右手摇动锥形瓶。</w:t>
      </w:r>
      <w:r>
        <w:ptab w:relativeTo="margin" w:alignment="right" w:leader="none"/>
      </w:r>
      <w:r>
        <w:rPr>
          <w:rFonts w:ascii="Times New Roman" w:hAnsi="Times New Roman" w:eastAsia="宋体" w:cs="Times New Roman"/>
          <w:sz w:val="21"/>
          <w:szCs w:val="21"/>
        </w:rPr>
        <w:t>(　　)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(8)当观察到锥形瓶中溶液颜色发生变化,立即停止滴定并记下滴定管液面读数。</w:t>
      </w:r>
      <w:r>
        <w:ptab w:relativeTo="margin" w:alignment="right" w:leader="none"/>
      </w:r>
      <w:r>
        <w:rPr>
          <w:rFonts w:ascii="Times New Roman" w:hAnsi="Times New Roman" w:eastAsia="宋体" w:cs="Times New Roman"/>
          <w:sz w:val="21"/>
          <w:szCs w:val="21"/>
        </w:rPr>
        <w:t>(　　)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2.强酸与强碱反应的本质是什么?据此判断在恰好反应时两者的关系。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3.Na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CO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>溶液和KMnO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ascii="Times New Roman" w:hAnsi="Times New Roman" w:eastAsia="宋体" w:cs="Times New Roman"/>
          <w:sz w:val="21"/>
          <w:szCs w:val="21"/>
        </w:rPr>
        <w:t>溶液应用哪种滴定管盛装?为什么?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【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合作探究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】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 任务1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：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酸碱中和滴定原理和操作</w:t>
      </w:r>
    </w:p>
    <w:p>
      <w:pPr>
        <w:spacing w:line="360" w:lineRule="auto"/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  <w:t>【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问题生成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  <w:t>】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1.酸碱中和滴定中能用石蕊作指示剂吗?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2.滴定终点应该是恰好完全中和的点,而常用指示剂没有恰好在pH=7时变色的,如何合理地选择指示剂?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3.用标准NaOH溶液滴定醋酸时,用甲基橙作指示剂还是用酚酞作指示剂?如何判断该滴定终点?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4.滴定终点是指示剂颜色发生突变的点,是不是一定是酸碱恰好中和的点?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【核心归纳】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1.中和滴定的实验操作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(1)滴定前的准备工作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2677160" cy="1919605"/>
            <wp:effectExtent l="0" t="0" r="2540" b="10795"/>
            <wp:docPr id="1300" name="23DXAG2HXRJXZXBX1T3-15.eps" descr="id:21475109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" name="23DXAG2HXRJXZXBX1T3-15.eps" descr="id:2147510913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2708275" cy="755015"/>
            <wp:effectExtent l="0" t="0" r="15875" b="6985"/>
            <wp:docPr id="1301" name="23DXAG2HXRJXZXBX1T3-16.eps" descr="id:21475109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" name="23DXAG2HXRJXZXBX1T3-16.eps" descr="id:2147510920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08640" cy="75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(2)滴定(用NaOH溶液滴定盐酸):从酸式滴定管中放出一定体积的盐酸于洗净的锥形瓶中,滴加2滴酚酞溶液,用标准氢氧化钠溶液开始滴定。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左手:控制乳胶管内玻璃珠,逐滴加入标准液,先快后慢。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右手:摇动锥形瓶。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眼睛:注视锥形瓶内溶液颜色变化,到终点后,记录下读数。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2.滴定终点判断答题模板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2338705" cy="1175385"/>
            <wp:effectExtent l="0" t="0" r="4445" b="5715"/>
            <wp:docPr id="1302" name="23DXAG2HXRJXZXBX1T3-17.eps" descr="id:21475109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23DXAG2HXRJXZXBX1T3-17.eps" descr="id:2147510927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38920" cy="1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【典型例题】</w:t>
      </w:r>
      <w:r>
        <w:rPr>
          <w:rFonts w:ascii="Times New Roman" w:hAnsi="Times New Roman" w:eastAsia="宋体" w:cs="Times New Roman"/>
          <w:sz w:val="21"/>
          <w:szCs w:val="21"/>
        </w:rPr>
        <w:t>下列是有关中和滴定的实验叙述: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①取一锥形瓶,用待测NaOH溶液润洗两次;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②在锥形瓶中放入25.00 mL待测NaOH溶液;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③加入几滴石蕊溶液作指示剂;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④取一支酸式滴定管,洗涤干净;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⑤直接往酸式滴定管中注入标准酸溶液,进行滴定;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⑥左手旋转滴定管的玻璃活塞,右手不停地摇动锥形瓶;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⑦两眼注视着滴定管内盐酸液面下降,直至滴定终点。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其中</w:t>
      </w:r>
      <w:r>
        <w:rPr>
          <w:rFonts w:ascii="Times New Roman" w:hAnsi="Times New Roman" w:eastAsia="宋体" w:cs="Times New Roman"/>
          <w:sz w:val="21"/>
          <w:szCs w:val="21"/>
          <w:em w:val="dot"/>
        </w:rPr>
        <w:t>错误</w:t>
      </w:r>
      <w:r>
        <w:rPr>
          <w:rFonts w:ascii="Times New Roman" w:hAnsi="Times New Roman" w:eastAsia="宋体" w:cs="Times New Roman"/>
          <w:sz w:val="21"/>
          <w:szCs w:val="21"/>
        </w:rPr>
        <w:t>的是(　　)。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【例2】用中和滴定法测定某烧碱样品的纯度,试根据实验回答下列问题: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(1)准确称量8.2 g含有少量中性易溶杂质的样品,配成500 mL待测溶液。称量时,样品可放在</w:t>
      </w:r>
      <w:r>
        <w:rPr>
          <w:rFonts w:ascii="Times New Roman" w:hAnsi="Times New Roman" w:eastAsia="宋体" w:cs="Times New Roman"/>
          <w:sz w:val="21"/>
          <w:szCs w:val="21"/>
          <w:u w:val="single" w:color="000000"/>
        </w:rPr>
        <w:t>　　　　</w:t>
      </w:r>
      <w:r>
        <w:rPr>
          <w:rFonts w:ascii="Times New Roman" w:hAnsi="Times New Roman" w:eastAsia="宋体" w:cs="Times New Roman"/>
          <w:sz w:val="21"/>
          <w:szCs w:val="21"/>
        </w:rPr>
        <w:t>(填字母)称量。 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A.小烧杯中　　　B.洁净纸片上　　C.托盘上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(2)滴定时,用0.2000 mol·L</w:t>
      </w:r>
      <w:r>
        <w:rPr>
          <w:rFonts w:ascii="Times New Roman" w:hAnsi="Times New Roman" w:eastAsia="宋体" w:cs="Times New Roman"/>
          <w:sz w:val="21"/>
          <w:szCs w:val="21"/>
          <w:vertAlign w:val="superscript"/>
        </w:rPr>
        <w:t>-1</w:t>
      </w:r>
      <w:r>
        <w:rPr>
          <w:rFonts w:ascii="Times New Roman" w:hAnsi="Times New Roman" w:eastAsia="宋体" w:cs="Times New Roman"/>
          <w:sz w:val="21"/>
          <w:szCs w:val="21"/>
        </w:rPr>
        <w:t>的盐酸来滴定待测溶液,不可选用</w:t>
      </w:r>
      <w:r>
        <w:rPr>
          <w:rFonts w:ascii="Times New Roman" w:hAnsi="Times New Roman" w:eastAsia="宋体" w:cs="Times New Roman"/>
          <w:sz w:val="21"/>
          <w:szCs w:val="21"/>
          <w:u w:val="single" w:color="000000"/>
        </w:rPr>
        <w:t>　　　　</w:t>
      </w:r>
      <w:r>
        <w:rPr>
          <w:rFonts w:ascii="Times New Roman" w:hAnsi="Times New Roman" w:eastAsia="宋体" w:cs="Times New Roman"/>
          <w:sz w:val="21"/>
          <w:szCs w:val="21"/>
        </w:rPr>
        <w:t>(填字母)作指示剂。 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A.甲基橙</w:t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B.石蕊</w:t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C.酚酞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(3)滴定过程中,眼睛应注视</w:t>
      </w:r>
      <w:r>
        <w:rPr>
          <w:rFonts w:ascii="Times New Roman" w:hAnsi="Times New Roman" w:eastAsia="宋体" w:cs="Times New Roman"/>
          <w:sz w:val="21"/>
          <w:szCs w:val="21"/>
          <w:u w:val="single" w:color="000000"/>
        </w:rPr>
        <w:t>　　　　　　　　　</w:t>
      </w:r>
      <w:r>
        <w:rPr>
          <w:rFonts w:ascii="Times New Roman" w:hAnsi="Times New Roman" w:eastAsia="宋体" w:cs="Times New Roman"/>
          <w:sz w:val="21"/>
          <w:szCs w:val="21"/>
        </w:rPr>
        <w:t>;在铁架台上垫一张白纸,其目的是</w:t>
      </w:r>
      <w:r>
        <w:rPr>
          <w:rFonts w:ascii="Times New Roman" w:hAnsi="Times New Roman" w:eastAsia="宋体" w:cs="Times New Roman"/>
          <w:sz w:val="21"/>
          <w:szCs w:val="21"/>
          <w:u w:val="single" w:color="000000"/>
        </w:rPr>
        <w:t>　　　　　　　　　　　　　　　　　　　　　　　　　　　　　　　　　</w:t>
      </w:r>
      <w:r>
        <w:rPr>
          <w:rFonts w:ascii="Times New Roman" w:hAnsi="Times New Roman" w:eastAsia="宋体" w:cs="Times New Roman"/>
          <w:sz w:val="21"/>
          <w:szCs w:val="21"/>
        </w:rPr>
        <w:t>。 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(4)根据下表数据,计算待测烧碱溶液的物质的量浓度是</w:t>
      </w:r>
      <w:r>
        <w:rPr>
          <w:rFonts w:ascii="Times New Roman" w:hAnsi="Times New Roman" w:eastAsia="宋体" w:cs="Times New Roman"/>
          <w:sz w:val="21"/>
          <w:szCs w:val="21"/>
          <w:u w:val="single" w:color="000000"/>
        </w:rPr>
        <w:t>　　　　</w:t>
      </w:r>
      <w:r>
        <w:rPr>
          <w:rFonts w:ascii="Times New Roman" w:hAnsi="Times New Roman" w:eastAsia="宋体" w:cs="Times New Roman"/>
          <w:sz w:val="21"/>
          <w:szCs w:val="21"/>
        </w:rPr>
        <w:t>mol·L</w:t>
      </w:r>
      <w:r>
        <w:rPr>
          <w:rFonts w:ascii="Times New Roman" w:hAnsi="Times New Roman" w:eastAsia="宋体" w:cs="Times New Roman"/>
          <w:sz w:val="21"/>
          <w:szCs w:val="21"/>
          <w:vertAlign w:val="superscript"/>
        </w:rPr>
        <w:t>-1</w:t>
      </w:r>
      <w:r>
        <w:rPr>
          <w:rFonts w:ascii="Times New Roman" w:hAnsi="Times New Roman" w:eastAsia="宋体" w:cs="Times New Roman"/>
          <w:sz w:val="21"/>
          <w:szCs w:val="21"/>
        </w:rPr>
        <w:t>,烧碱样品的纯度约为</w:t>
      </w:r>
      <w:r>
        <w:rPr>
          <w:rFonts w:ascii="Times New Roman" w:hAnsi="Times New Roman" w:eastAsia="宋体" w:cs="Times New Roman"/>
          <w:sz w:val="21"/>
          <w:szCs w:val="21"/>
          <w:u w:val="single" w:color="000000"/>
        </w:rPr>
        <w:t>　　　　</w:t>
      </w:r>
      <w:r>
        <w:rPr>
          <w:rFonts w:ascii="Times New Roman" w:hAnsi="Times New Roman" w:eastAsia="宋体" w:cs="Times New Roman"/>
          <w:sz w:val="21"/>
          <w:szCs w:val="21"/>
        </w:rPr>
        <w:t>(保留到小数点后两位)。 </w:t>
      </w:r>
    </w:p>
    <w:tbl>
      <w:tblPr>
        <w:tblStyle w:val="4"/>
        <w:tblW w:w="4104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63"/>
        <w:gridCol w:w="2854"/>
        <w:gridCol w:w="2553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pct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滴定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次数</w:t>
            </w:r>
          </w:p>
        </w:tc>
        <w:tc>
          <w:tcPr>
            <w:tcW w:w="851" w:type="pct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待测溶液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体积/mL</w:t>
            </w:r>
          </w:p>
        </w:tc>
        <w:tc>
          <w:tcPr>
            <w:tcW w:w="3378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标准酸溶液体积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pct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1" w:type="pct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83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滴定前的刻度/mL</w:t>
            </w:r>
          </w:p>
        </w:tc>
        <w:tc>
          <w:tcPr>
            <w:tcW w:w="1595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滴定后的刻度/mL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第一次</w:t>
            </w:r>
          </w:p>
        </w:tc>
        <w:tc>
          <w:tcPr>
            <w:tcW w:w="851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10.00</w:t>
            </w:r>
          </w:p>
        </w:tc>
        <w:tc>
          <w:tcPr>
            <w:tcW w:w="1783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0.40</w:t>
            </w:r>
          </w:p>
        </w:tc>
        <w:tc>
          <w:tcPr>
            <w:tcW w:w="1595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20.50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第二次</w:t>
            </w:r>
          </w:p>
        </w:tc>
        <w:tc>
          <w:tcPr>
            <w:tcW w:w="851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10.00</w:t>
            </w:r>
          </w:p>
        </w:tc>
        <w:tc>
          <w:tcPr>
            <w:tcW w:w="1783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4.10</w:t>
            </w:r>
          </w:p>
        </w:tc>
        <w:tc>
          <w:tcPr>
            <w:tcW w:w="1595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24.00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宋体" w:cs="Times New Roman"/>
          <w:sz w:val="21"/>
          <w:szCs w:val="21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特别提醒：</w:t>
      </w:r>
      <w:r>
        <w:rPr>
          <w:rFonts w:ascii="Times New Roman" w:hAnsi="Times New Roman" w:eastAsia="宋体" w:cs="Times New Roman"/>
          <w:sz w:val="21"/>
          <w:szCs w:val="21"/>
        </w:rPr>
        <w:t>1.石蕊一般不能用作中和滴定的指示剂,因为石蕊的颜色变化不明显,且变色范围较宽。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2.指示剂不要多加,因为指示剂本身为弱酸或弱碱。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3.指示剂的选择可依据“强酸滴弱碱用甲基橙,强碱滴弱酸用酚酞,强滴强二者皆行”。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 任务2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：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酸碱中和滴定误差分析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1.误差分析依据(一元酸、碱的中和滴定)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中和滴定实验中,产生误差的原因主要有操作不当,读数不准等,依据原理</w:t>
      </w:r>
      <w:r>
        <w:rPr>
          <w:rFonts w:ascii="Times New Roman" w:hAnsi="Times New Roman" w:eastAsia="宋体" w:cs="Times New Roman"/>
          <w:i/>
          <w:sz w:val="21"/>
          <w:szCs w:val="21"/>
        </w:rPr>
        <w:t>c</w:t>
      </w:r>
      <w:r>
        <w:rPr>
          <w:rFonts w:ascii="Times New Roman" w:hAnsi="Times New Roman" w:eastAsia="宋体" w:cs="Times New Roman"/>
          <w:sz w:val="21"/>
          <w:szCs w:val="21"/>
        </w:rPr>
        <w:t>(标准)·</w:t>
      </w:r>
      <w:r>
        <w:rPr>
          <w:rFonts w:ascii="Times New Roman" w:hAnsi="Times New Roman" w:eastAsia="宋体" w:cs="Times New Roman"/>
          <w:i/>
          <w:sz w:val="21"/>
          <w:szCs w:val="21"/>
        </w:rPr>
        <w:t>V</w:t>
      </w:r>
      <w:r>
        <w:rPr>
          <w:rFonts w:ascii="Times New Roman" w:hAnsi="Times New Roman" w:eastAsia="宋体" w:cs="Times New Roman"/>
          <w:sz w:val="21"/>
          <w:szCs w:val="21"/>
        </w:rPr>
        <w:t>(标准)=</w:t>
      </w:r>
      <w:r>
        <w:rPr>
          <w:rFonts w:ascii="Times New Roman" w:hAnsi="Times New Roman" w:eastAsia="宋体" w:cs="Times New Roman"/>
          <w:i/>
          <w:sz w:val="21"/>
          <w:szCs w:val="21"/>
        </w:rPr>
        <w:t>c</w:t>
      </w:r>
      <w:r>
        <w:rPr>
          <w:rFonts w:ascii="Times New Roman" w:hAnsi="Times New Roman" w:eastAsia="宋体" w:cs="Times New Roman"/>
          <w:sz w:val="21"/>
          <w:szCs w:val="21"/>
        </w:rPr>
        <w:t>(待测)·</w:t>
      </w:r>
      <w:r>
        <w:rPr>
          <w:rFonts w:ascii="Times New Roman" w:hAnsi="Times New Roman" w:eastAsia="宋体" w:cs="Times New Roman"/>
          <w:i/>
          <w:sz w:val="21"/>
          <w:szCs w:val="21"/>
        </w:rPr>
        <w:t>V</w:t>
      </w:r>
      <w:r>
        <w:rPr>
          <w:rFonts w:ascii="Times New Roman" w:hAnsi="Times New Roman" w:eastAsia="宋体" w:cs="Times New Roman"/>
          <w:sz w:val="21"/>
          <w:szCs w:val="21"/>
        </w:rPr>
        <w:t>(待测),所以</w:t>
      </w:r>
      <w:r>
        <w:rPr>
          <w:rFonts w:ascii="Times New Roman" w:hAnsi="Times New Roman" w:eastAsia="宋体" w:cs="Times New Roman"/>
          <w:i/>
          <w:sz w:val="21"/>
          <w:szCs w:val="21"/>
        </w:rPr>
        <w:t>c</w:t>
      </w:r>
      <w:r>
        <w:rPr>
          <w:rFonts w:ascii="Times New Roman" w:hAnsi="Times New Roman" w:eastAsia="宋体" w:cs="Times New Roman"/>
          <w:sz w:val="21"/>
          <w:szCs w:val="21"/>
        </w:rPr>
        <w:t>(待测)=</w:t>
      </w:r>
      <m:oMath>
        <m:f>
          <m:fPr>
            <m:ctrlPr>
              <w:rPr>
                <w:rFonts w:ascii="Cambria Math" w:hAnsi="Cambria Math" w:eastAsia="宋体" w:cs="Times New Roman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 w:eastAsia="宋体" w:cs="Times New Roman"/>
                <w:sz w:val="21"/>
                <w:szCs w:val="21"/>
              </w:rPr>
              <m:t>c</m:t>
            </m:r>
            <m:r>
              <m:rPr>
                <m:nor/>
                <m:sty m:val="p"/>
              </m:rPr>
              <w:rPr>
                <w:rFonts w:ascii="Cambria Math" w:hAnsi="Cambria Math" w:eastAsia="宋体" w:cs="Times New Roman"/>
                <w:b w:val="0"/>
                <w:i w:val="0"/>
                <w:sz w:val="21"/>
                <w:szCs w:val="21"/>
              </w:rPr>
              <m:t>(标准)·</m:t>
            </m:r>
            <m:r>
              <m:rPr/>
              <w:rPr>
                <w:rFonts w:ascii="Cambria Math" w:hAnsi="Cambria Math" w:eastAsia="宋体" w:cs="Times New Roman"/>
                <w:sz w:val="21"/>
                <w:szCs w:val="21"/>
              </w:rPr>
              <m:t>V</m:t>
            </m:r>
            <m:r>
              <m:rPr>
                <m:nor/>
                <m:sty m:val="p"/>
              </m:rPr>
              <w:rPr>
                <w:rFonts w:ascii="Cambria Math" w:hAnsi="Cambria Math" w:eastAsia="宋体" w:cs="Times New Roman"/>
                <w:b w:val="0"/>
                <w:i w:val="0"/>
                <w:sz w:val="21"/>
                <w:szCs w:val="21"/>
              </w:rPr>
              <m:t>(标准)</m:t>
            </m:r>
            <m:ctrlPr>
              <w:rPr>
                <w:rFonts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 w:eastAsia="宋体" w:cs="Times New Roman"/>
                <w:sz w:val="21"/>
                <w:szCs w:val="21"/>
              </w:rPr>
              <m:t>V</m:t>
            </m:r>
            <m:r>
              <m:rPr>
                <m:nor/>
                <m:sty m:val="p"/>
              </m:rPr>
              <w:rPr>
                <w:rFonts w:ascii="Cambria Math" w:hAnsi="Cambria Math" w:eastAsia="宋体" w:cs="Times New Roman"/>
                <w:b w:val="0"/>
                <w:i w:val="0"/>
                <w:sz w:val="21"/>
                <w:szCs w:val="21"/>
              </w:rPr>
              <m:t>(待测)</m:t>
            </m:r>
            <m:ctrlPr>
              <w:rPr>
                <w:rFonts w:ascii="Cambria Math" w:hAnsi="Cambria Math" w:eastAsia="宋体" w:cs="Times New Roman"/>
                <w:sz w:val="21"/>
                <w:szCs w:val="21"/>
              </w:rPr>
            </m:ctrlPr>
          </m:den>
        </m:f>
      </m:oMath>
      <w:r>
        <w:rPr>
          <w:rFonts w:ascii="Times New Roman" w:hAnsi="Times New Roman" w:eastAsia="宋体" w:cs="Times New Roman"/>
          <w:sz w:val="21"/>
          <w:szCs w:val="21"/>
        </w:rPr>
        <w:t>,</w:t>
      </w:r>
      <w:r>
        <w:rPr>
          <w:rFonts w:ascii="Times New Roman" w:hAnsi="Times New Roman" w:eastAsia="宋体" w:cs="Times New Roman"/>
          <w:i/>
          <w:sz w:val="21"/>
          <w:szCs w:val="21"/>
        </w:rPr>
        <w:t>c</w:t>
      </w:r>
      <w:r>
        <w:rPr>
          <w:rFonts w:ascii="Times New Roman" w:hAnsi="Times New Roman" w:eastAsia="宋体" w:cs="Times New Roman"/>
          <w:sz w:val="21"/>
          <w:szCs w:val="21"/>
        </w:rPr>
        <w:t>(标准)与</w:t>
      </w:r>
      <w:r>
        <w:rPr>
          <w:rFonts w:ascii="Times New Roman" w:hAnsi="Times New Roman" w:eastAsia="宋体" w:cs="Times New Roman"/>
          <w:i/>
          <w:sz w:val="21"/>
          <w:szCs w:val="21"/>
        </w:rPr>
        <w:t>V</w:t>
      </w:r>
      <w:r>
        <w:rPr>
          <w:rFonts w:ascii="Times New Roman" w:hAnsi="Times New Roman" w:eastAsia="宋体" w:cs="Times New Roman"/>
          <w:sz w:val="21"/>
          <w:szCs w:val="21"/>
        </w:rPr>
        <w:t>(待测)已确定,因此只要分析出不正确的操作引起</w:t>
      </w:r>
      <w:r>
        <w:rPr>
          <w:rFonts w:ascii="Times New Roman" w:hAnsi="Times New Roman" w:eastAsia="宋体" w:cs="Times New Roman"/>
          <w:i/>
          <w:sz w:val="21"/>
          <w:szCs w:val="21"/>
        </w:rPr>
        <w:t>V</w:t>
      </w:r>
      <w:r>
        <w:rPr>
          <w:rFonts w:ascii="Times New Roman" w:hAnsi="Times New Roman" w:eastAsia="宋体" w:cs="Times New Roman"/>
          <w:sz w:val="21"/>
          <w:szCs w:val="21"/>
        </w:rPr>
        <w:t>(标准)的变化,即可分析出结果。</w:t>
      </w:r>
      <w:r>
        <w:rPr>
          <w:rFonts w:ascii="Times New Roman" w:hAnsi="Times New Roman" w:eastAsia="宋体" w:cs="Times New Roman"/>
          <w:i/>
          <w:sz w:val="21"/>
          <w:szCs w:val="21"/>
        </w:rPr>
        <w:t>V</w:t>
      </w:r>
      <w:r>
        <w:rPr>
          <w:rFonts w:ascii="Times New Roman" w:hAnsi="Times New Roman" w:eastAsia="宋体" w:cs="Times New Roman"/>
          <w:sz w:val="21"/>
          <w:szCs w:val="21"/>
        </w:rPr>
        <w:t>(标准)变大,则</w:t>
      </w:r>
      <w:r>
        <w:rPr>
          <w:rFonts w:ascii="Times New Roman" w:hAnsi="Times New Roman" w:eastAsia="宋体" w:cs="Times New Roman"/>
          <w:i/>
          <w:sz w:val="21"/>
          <w:szCs w:val="21"/>
        </w:rPr>
        <w:t>c</w:t>
      </w:r>
      <w:r>
        <w:rPr>
          <w:rFonts w:ascii="Times New Roman" w:hAnsi="Times New Roman" w:eastAsia="宋体" w:cs="Times New Roman"/>
          <w:sz w:val="21"/>
          <w:szCs w:val="21"/>
        </w:rPr>
        <w:t>(待测)偏高;</w:t>
      </w:r>
      <w:r>
        <w:rPr>
          <w:rFonts w:ascii="Times New Roman" w:hAnsi="Times New Roman" w:eastAsia="宋体" w:cs="Times New Roman"/>
          <w:i/>
          <w:sz w:val="21"/>
          <w:szCs w:val="21"/>
        </w:rPr>
        <w:t>V</w:t>
      </w:r>
      <w:r>
        <w:rPr>
          <w:rFonts w:ascii="Times New Roman" w:hAnsi="Times New Roman" w:eastAsia="宋体" w:cs="Times New Roman"/>
          <w:sz w:val="21"/>
          <w:szCs w:val="21"/>
        </w:rPr>
        <w:t>(标准)变小,则</w:t>
      </w:r>
      <w:r>
        <w:rPr>
          <w:rFonts w:ascii="Times New Roman" w:hAnsi="Times New Roman" w:eastAsia="宋体" w:cs="Times New Roman"/>
          <w:i/>
          <w:sz w:val="21"/>
          <w:szCs w:val="21"/>
        </w:rPr>
        <w:t>c</w:t>
      </w:r>
      <w:r>
        <w:rPr>
          <w:rFonts w:ascii="Times New Roman" w:hAnsi="Times New Roman" w:eastAsia="宋体" w:cs="Times New Roman"/>
          <w:sz w:val="21"/>
          <w:szCs w:val="21"/>
        </w:rPr>
        <w:t>(待测)偏低。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2.常见的误差分析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以标准酸溶液滴定未知浓度的碱溶液(酚酞作指示剂)为例,常见的因操作不正确而引起的误差有:</w:t>
      </w:r>
    </w:p>
    <w:tbl>
      <w:tblPr>
        <w:tblStyle w:val="4"/>
        <w:tblW w:w="4747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5776"/>
        <w:gridCol w:w="1550"/>
        <w:gridCol w:w="1404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步骤</w:t>
            </w:r>
          </w:p>
        </w:tc>
        <w:tc>
          <w:tcPr>
            <w:tcW w:w="3119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操作</w:t>
            </w:r>
          </w:p>
        </w:tc>
        <w:tc>
          <w:tcPr>
            <w:tcW w:w="83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sz w:val="21"/>
                <w:szCs w:val="21"/>
              </w:rPr>
              <w:t>V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(标准)</w:t>
            </w:r>
          </w:p>
        </w:tc>
        <w:tc>
          <w:tcPr>
            <w:tcW w:w="758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sz w:val="21"/>
                <w:szCs w:val="21"/>
              </w:rPr>
              <w:t>c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(待测)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洗涤</w:t>
            </w:r>
          </w:p>
        </w:tc>
        <w:tc>
          <w:tcPr>
            <w:tcW w:w="3119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酸式滴定管未用标准酸溶液润洗</w:t>
            </w:r>
          </w:p>
        </w:tc>
        <w:tc>
          <w:tcPr>
            <w:tcW w:w="83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变大</w:t>
            </w:r>
          </w:p>
        </w:tc>
        <w:tc>
          <w:tcPr>
            <w:tcW w:w="758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偏高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119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碱式滴定管未用待测溶液润洗</w:t>
            </w:r>
          </w:p>
        </w:tc>
        <w:tc>
          <w:tcPr>
            <w:tcW w:w="83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变小</w:t>
            </w:r>
          </w:p>
        </w:tc>
        <w:tc>
          <w:tcPr>
            <w:tcW w:w="758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偏低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119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锥形瓶用待测溶液润洗</w:t>
            </w:r>
          </w:p>
        </w:tc>
        <w:tc>
          <w:tcPr>
            <w:tcW w:w="83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变大</w:t>
            </w:r>
          </w:p>
        </w:tc>
        <w:tc>
          <w:tcPr>
            <w:tcW w:w="758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偏高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119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锥形瓶洗净后还留有蒸馏水</w:t>
            </w:r>
          </w:p>
        </w:tc>
        <w:tc>
          <w:tcPr>
            <w:tcW w:w="83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不变</w:t>
            </w:r>
          </w:p>
        </w:tc>
        <w:tc>
          <w:tcPr>
            <w:tcW w:w="758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无影响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取液</w:t>
            </w:r>
          </w:p>
        </w:tc>
        <w:tc>
          <w:tcPr>
            <w:tcW w:w="3119" w:type="pct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取碱液的滴定管开始有气泡,读数时气泡消失</w:t>
            </w:r>
          </w:p>
        </w:tc>
        <w:tc>
          <w:tcPr>
            <w:tcW w:w="83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变小</w:t>
            </w:r>
          </w:p>
        </w:tc>
        <w:tc>
          <w:tcPr>
            <w:tcW w:w="758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偏低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滴定</w:t>
            </w:r>
          </w:p>
        </w:tc>
        <w:tc>
          <w:tcPr>
            <w:tcW w:w="3119" w:type="pct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酸式滴定管滴定前有气泡,达到滴定终点时气泡消失</w:t>
            </w:r>
          </w:p>
        </w:tc>
        <w:tc>
          <w:tcPr>
            <w:tcW w:w="83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变大</w:t>
            </w:r>
          </w:p>
        </w:tc>
        <w:tc>
          <w:tcPr>
            <w:tcW w:w="758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偏高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119" w:type="pct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振荡锥形瓶时部分液体溅出</w:t>
            </w:r>
          </w:p>
        </w:tc>
        <w:tc>
          <w:tcPr>
            <w:tcW w:w="83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变小</w:t>
            </w:r>
          </w:p>
        </w:tc>
        <w:tc>
          <w:tcPr>
            <w:tcW w:w="758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偏低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119" w:type="pct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部分酸液滴在锥形瓶外</w:t>
            </w:r>
          </w:p>
        </w:tc>
        <w:tc>
          <w:tcPr>
            <w:tcW w:w="83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变大</w:t>
            </w:r>
          </w:p>
        </w:tc>
        <w:tc>
          <w:tcPr>
            <w:tcW w:w="758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偏高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读数</w:t>
            </w:r>
          </w:p>
        </w:tc>
        <w:tc>
          <w:tcPr>
            <w:tcW w:w="3119" w:type="pct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酸式滴定管滴定前读数正确,滴定后俯视读数(或前仰后俯)</w:t>
            </w:r>
          </w:p>
        </w:tc>
        <w:tc>
          <w:tcPr>
            <w:tcW w:w="83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变小</w:t>
            </w:r>
          </w:p>
        </w:tc>
        <w:tc>
          <w:tcPr>
            <w:tcW w:w="758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偏低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119" w:type="pct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酸式滴定管滴定前读数正确,滴定后仰视读数(或前俯后仰)</w:t>
            </w:r>
          </w:p>
        </w:tc>
        <w:tc>
          <w:tcPr>
            <w:tcW w:w="83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变大</w:t>
            </w:r>
          </w:p>
        </w:tc>
        <w:tc>
          <w:tcPr>
            <w:tcW w:w="758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偏高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宋体" w:cs="Times New Roman"/>
          <w:sz w:val="21"/>
          <w:szCs w:val="21"/>
        </w:rPr>
      </w:pPr>
    </w:p>
    <w:p>
      <w:pPr>
        <w:spacing w:line="360" w:lineRule="auto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典型例题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】</w:t>
      </w:r>
      <w:r>
        <w:rPr>
          <w:rFonts w:ascii="Times New Roman" w:hAnsi="Times New Roman" w:eastAsia="宋体" w:cs="Times New Roman"/>
          <w:sz w:val="21"/>
          <w:szCs w:val="21"/>
        </w:rPr>
        <w:t>称取一定质量的NaOH来测定未知浓度的盐酸(NaOH放在锥形瓶内,盐酸放在滴定管中)。填写下列各项操作会给实验造成的误差(A.偏高;B.偏低;C.无影响;D.无法判断)。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(1)称量NaOH固体时,未调节天平的零点。(　　)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(2)将NaOH固体放入锥形瓶中加水溶解时,加入水的体积不准确。(　　)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(3)滴定管装入盐酸前未用盐酸润洗。(　　)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(4)开始滴定时,滴定管尖端处有气泡,滴定完毕气泡排出。(　　)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(5)滴定前未将液面调至“0”刻度线或“0”以下,结束时初读数按0计算。(　　)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(6)在滴定过程中活塞处漏液。(　　)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(7)摇动锥形瓶时,因用力过猛,使少量溶液溅出。(　　)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(8)滴定前读数时仰视,滴定完毕读数时俯视。(　　)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</w:rPr>
        <w:t>方法技巧：</w:t>
      </w:r>
      <w:r>
        <w:rPr>
          <w:rFonts w:ascii="Times New Roman" w:hAnsi="Times New Roman" w:eastAsia="宋体" w:cs="Times New Roman"/>
          <w:sz w:val="21"/>
          <w:szCs w:val="21"/>
        </w:rPr>
        <w:t>读数误差的画图理解和记忆</w:t>
      </w:r>
    </w:p>
    <w:p>
      <w:pPr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开始读数仰视,滴定完毕读数俯视,如图Ⅰ;开始读数俯视,滴定完毕读数仰视,如图Ⅱ。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2434590" cy="1293495"/>
            <wp:effectExtent l="0" t="0" r="3810" b="1905"/>
            <wp:docPr id="1311" name="23DXAG2HXRJXZXBX1T3-18.eps" descr="id:21475109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23DXAG2HXRJXZXBX1T3-18.eps" descr="id:2147510992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35040" cy="129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708" w:footer="709" w:gutter="0"/>
      <w:cols w:space="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3540246"/>
      <w:docPartObj>
        <w:docPartGallery w:val="autotext"/>
      </w:docPartObj>
    </w:sdtPr>
    <w:sdtContent>
      <w:p>
        <w:pPr>
          <w:pStyle w:val="2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widowControl w:val="0"/>
      <w:tabs>
        <w:tab w:val="left" w:pos="4935"/>
        <w:tab w:val="right" w:pos="8306"/>
      </w:tabs>
      <w:snapToGrid w:val="0"/>
      <w:spacing w:line="240" w:lineRule="auto"/>
      <w:jc w:val="both"/>
      <w:rPr>
        <w:rFonts w:asciiTheme="minorHAnsi" w:hAnsiTheme="minorHAnsi" w:eastAsiaTheme="minorEastAsia"/>
        <w:color w:val="0000FF"/>
        <w:kern w:val="2"/>
        <w:sz w:val="21"/>
        <w:szCs w:val="24"/>
      </w:rPr>
    </w:pPr>
  </w:p>
  <w:p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rPr>
        <w:rFonts w:ascii="Times New Roman" w:hAnsi="Times New Roman" w:eastAsia="宋体" w:cs="Times New Roman"/>
        <w:color w:val="auto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widowControl w:val="0"/>
      <w:pBdr>
        <w:bottom w:val="none" w:color="auto" w:sz="0" w:space="1"/>
      </w:pBdr>
      <w:snapToGrid w:val="0"/>
      <w:spacing w:line="240" w:lineRule="auto"/>
      <w:jc w:val="both"/>
      <w:rPr>
        <w:rFonts w:ascii="Times New Roman" w:hAnsi="Times New Roman" w:eastAsia="宋体" w:cs="Times New Roman"/>
        <w:color w:val="auto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419247"/>
    <w:multiLevelType w:val="singleLevel"/>
    <w:tmpl w:val="F0419247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299FBC48"/>
    <w:multiLevelType w:val="singleLevel"/>
    <w:tmpl w:val="299FBC48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yOTI3Njk3ZDc0YjkyN2IxYzc4ZmM4ZjRhYzBhNDUifQ=="/>
  </w:docVars>
  <w:rsids>
    <w:rsidRoot w:val="03FE517D"/>
    <w:rsid w:val="004151FC"/>
    <w:rsid w:val="00476C97"/>
    <w:rsid w:val="00491538"/>
    <w:rsid w:val="006445A9"/>
    <w:rsid w:val="00C02FC6"/>
    <w:rsid w:val="00D55AFB"/>
    <w:rsid w:val="00E1560B"/>
    <w:rsid w:val="03F00AAE"/>
    <w:rsid w:val="03FE517D"/>
    <w:rsid w:val="0F3E299B"/>
    <w:rsid w:val="12621A3B"/>
    <w:rsid w:val="196736F7"/>
    <w:rsid w:val="1C22101A"/>
    <w:rsid w:val="24935CB9"/>
    <w:rsid w:val="2EA84A9A"/>
    <w:rsid w:val="2F5B62D0"/>
    <w:rsid w:val="40963208"/>
    <w:rsid w:val="42E76057"/>
    <w:rsid w:val="58A9755A"/>
    <w:rsid w:val="61002843"/>
    <w:rsid w:val="6E6953FF"/>
    <w:rsid w:val="6E852B1D"/>
    <w:rsid w:val="785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5" w:lineRule="exac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/>
      <w:color w:val="auto"/>
      <w:kern w:val="2"/>
      <w:szCs w:val="24"/>
    </w:rPr>
  </w:style>
  <w:style w:type="paragraph" w:styleId="3">
    <w:name w:val="header"/>
    <w:basedOn w:val="1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Theme="minorHAnsi" w:hAnsiTheme="minorHAnsi" w:eastAsiaTheme="minorEastAsia"/>
      <w:color w:val="auto"/>
      <w:kern w:val="2"/>
      <w:szCs w:val="24"/>
    </w:rPr>
  </w:style>
  <w:style w:type="character" w:customStyle="1" w:styleId="6">
    <w:name w:val="页脚 字符"/>
    <w:basedOn w:val="5"/>
    <w:link w:val="2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image" Target="media/image8.jpeg"/><Relationship Id="rId17" Type="http://schemas.openxmlformats.org/officeDocument/2006/relationships/image" Target="media/image7.jpeg"/><Relationship Id="rId16" Type="http://schemas.openxmlformats.org/officeDocument/2006/relationships/image" Target="media/image6.jpeg"/><Relationship Id="rId15" Type="http://schemas.openxmlformats.org/officeDocument/2006/relationships/image" Target="media/image5.jpeg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3691</Words>
  <Characters>4341</Characters>
  <Lines>64</Lines>
  <Paragraphs>18</Paragraphs>
  <TotalTime>2</TotalTime>
  <ScaleCrop>false</ScaleCrop>
  <LinksUpToDate>false</LinksUpToDate>
  <CharactersWithSpaces>4590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2023-10-09T07:47:00Z</dcterms:created>
  <dc:creator>徐徐飞</dc:creator>
  <cp:lastModifiedBy>ASUS</cp:lastModifiedBy>
  <dcterms:modified xsi:type="dcterms:W3CDTF">2024-08-27T09:32:05Z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5F939A0F3E4B43F492A2B3BBF65301DA_13</vt:lpwstr>
  </property>
</Properties>
</file>