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686"/>
        </w:tabs>
        <w:kinsoku/>
        <w:wordWrap/>
        <w:overflowPunct/>
        <w:topLinePunct w:val="0"/>
        <w:autoSpaceDE/>
        <w:autoSpaceDN/>
        <w:bidi w:val="0"/>
        <w:adjustRightInd/>
        <w:snapToGrid/>
        <w:spacing w:line="360" w:lineRule="auto"/>
        <w:jc w:val="center"/>
        <w:textAlignment w:val="auto"/>
        <w:rPr>
          <w:rFonts w:hint="eastAsia" w:ascii="Times New Roman" w:eastAsia="宋体" w:cs="Times New Roman"/>
          <w:b/>
          <w:bCs/>
          <w:i w:val="0"/>
          <w:iCs/>
          <w:color w:val="000000"/>
          <w:kern w:val="0"/>
          <w:sz w:val="32"/>
          <w:szCs w:val="32"/>
          <w:lang w:val="en-US" w:eastAsia="zh-CN"/>
        </w:rPr>
      </w:pPr>
      <w:r>
        <w:rPr>
          <w:rFonts w:hint="eastAsia" w:ascii="Times New Roman" w:eastAsia="宋体" w:cs="Times New Roman"/>
          <w:b/>
          <w:bCs/>
          <w:i w:val="0"/>
          <w:iCs/>
          <w:color w:val="000000"/>
          <w:kern w:val="0"/>
          <w:sz w:val="32"/>
          <w:szCs w:val="32"/>
          <w:lang w:val="en-US" w:eastAsia="zh-CN"/>
        </w:rPr>
        <w:t>1.2 课时2 元素周期律</w:t>
      </w:r>
    </w:p>
    <w:p>
      <w:pPr>
        <w:pageBreakBefore w:val="0"/>
        <w:widowControl/>
        <w:tabs>
          <w:tab w:val="left" w:pos="368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val="0"/>
          <w:iCs/>
          <w:color w:val="000000"/>
          <w:sz w:val="24"/>
          <w:szCs w:val="24"/>
        </w:rPr>
      </w:pPr>
      <w:r>
        <w:rPr>
          <w:rFonts w:hint="default" w:ascii="Times New Roman" w:hAnsi="Times New Roman" w:eastAsia="宋体" w:cs="Times New Roman"/>
          <w:b/>
          <w:bCs/>
          <w:i w:val="0"/>
          <w:iCs/>
          <w:color w:val="000000"/>
          <w:sz w:val="24"/>
          <w:szCs w:val="24"/>
          <w:lang w:eastAsia="zh-CN"/>
        </w:rPr>
        <w:t>【</w:t>
      </w:r>
      <w:r>
        <w:rPr>
          <w:rFonts w:hint="default" w:ascii="Times New Roman" w:hAnsi="Times New Roman" w:eastAsia="宋体" w:cs="Times New Roman"/>
          <w:b/>
          <w:bCs/>
          <w:i w:val="0"/>
          <w:iCs/>
          <w:color w:val="000000"/>
          <w:sz w:val="24"/>
          <w:szCs w:val="24"/>
        </w:rPr>
        <w:t>核心素养发展目标</w:t>
      </w:r>
      <w:r>
        <w:rPr>
          <w:rFonts w:hint="default" w:ascii="Times New Roman" w:hAnsi="Times New Roman" w:eastAsia="宋体" w:cs="Times New Roman"/>
          <w:b/>
          <w:bCs/>
          <w:i w:val="0"/>
          <w:iCs/>
          <w:color w:val="000000"/>
          <w:sz w:val="24"/>
          <w:szCs w:val="24"/>
          <w:lang w:eastAsia="zh-CN"/>
        </w:rPr>
        <w:t>】</w:t>
      </w:r>
    </w:p>
    <w:p>
      <w:pPr>
        <w:tabs>
          <w:tab w:val="left" w:pos="3828"/>
        </w:tabs>
        <w:snapToGrid w:val="0"/>
        <w:spacing w:line="360" w:lineRule="auto"/>
        <w:rPr>
          <w:rFonts w:ascii="Times New Roman"/>
        </w:rPr>
      </w:pPr>
      <w:r>
        <w:rPr>
          <w:rFonts w:ascii="Times New Roman" w:hAnsi="Times New Roman" w:eastAsia="宋体" w:cs="Times New Roman"/>
          <w:sz w:val="21"/>
          <w:szCs w:val="21"/>
        </w:rPr>
        <w:t>1.能从原子结构的角度理解原子半径、元素第一电离能、电负性之间的递变规律，能利用递变规律比较原子(离子)半径、元素第一电离能、电负性的相对大小。2.通过对原子半径、元素第一电离能、电负性递变规律的学习，建立“结构决定性质”的认知模型，并能利用认知模型解释元素性质的规律性和特殊性。</w:t>
      </w:r>
    </w:p>
    <w:p>
      <w:pPr>
        <w:tabs>
          <w:tab w:val="left" w:pos="3828"/>
        </w:tabs>
        <w:snapToGrid w:val="0"/>
        <w:spacing w:line="360" w:lineRule="auto"/>
        <w:jc w:val="center"/>
        <w:rPr>
          <w:rFonts w:ascii="Times New Roman" w:eastAsia="方正大黑_GBK"/>
          <w:sz w:val="31"/>
          <w:szCs w:val="31"/>
        </w:rPr>
      </w:pPr>
      <w:r>
        <w:rPr>
          <w:rFonts w:ascii="Times New Roman" w:hAnsi="Times New Roman" w:eastAsia="宋体" w:cs="Times New Roman"/>
          <w:sz w:val="31"/>
          <w:szCs w:val="31"/>
        </w:rPr>
        <w:t>一、原子半径</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1.原子半径的变化规律</w:t>
      </w:r>
    </w:p>
    <w:p>
      <w:pPr>
        <w:tabs>
          <w:tab w:val="left" w:pos="3828"/>
        </w:tabs>
        <w:snapToGrid w:val="0"/>
        <w:spacing w:line="360" w:lineRule="auto"/>
        <w:jc w:val="center"/>
        <w:rPr>
          <w:rFonts w:ascii="Times New Roman"/>
          <w:w w:val="104"/>
          <w:sz w:val="23"/>
          <w:szCs w:val="23"/>
        </w:rPr>
      </w:pPr>
      <w:r>
        <w:rPr>
          <w:rFonts w:ascii="Times New Roman"/>
        </w:rPr>
        <w:drawing>
          <wp:inline distT="0" distB="0" distL="0" distR="0">
            <wp:extent cx="2807970" cy="2735580"/>
            <wp:effectExtent l="0" t="0" r="0" b="0"/>
            <wp:docPr id="99"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87.jpeg"/>
                    <pic:cNvPicPr>
                      <a:picLocks noChangeAspect="1"/>
                    </pic:cNvPicPr>
                  </pic:nvPicPr>
                  <pic:blipFill>
                    <a:blip r:embed="rId4"/>
                    <a:stretch>
                      <a:fillRect/>
                    </a:stretch>
                  </pic:blipFill>
                  <pic:spPr>
                    <a:xfrm>
                      <a:off x="0" y="0"/>
                      <a:ext cx="2808000" cy="2736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除Li外，第三周期主族元素原子半径大于第二周期主族元素原子半径［</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(Mg)&gt;</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(Li)&gt;</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(Al)］。</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2.原子或离子半径的比较方法</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(1)同种元素的离子半径：阴离子大于原子，原子大于阳离子，低价阳离子大于高价阳离子。例如：</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(Cl</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(Cl)，</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(Fe)</w:t>
      </w:r>
      <w:r>
        <w:rPr>
          <w:rFonts w:hint="eastAsia" w:ascii="Times New Roman" w:hAnsi="Times New Roman" w:eastAsia="宋体" w:cs="Times New Roman"/>
          <w:w w:val="104"/>
          <w:sz w:val="23"/>
          <w:szCs w:val="23"/>
        </w:rPr>
        <w:t>_</w:t>
      </w:r>
      <w:r>
        <w:rPr>
          <w:rFonts w:ascii="Times New Roman" w:hAnsi="Times New Roman" w:eastAsia="宋体" w:cs="Times New Roman"/>
          <w:w w:val="104"/>
          <w:sz w:val="23"/>
          <w:szCs w:val="23"/>
        </w:rPr>
        <w:t>________</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(Fe</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(Fe</w:t>
      </w:r>
      <w:r>
        <w:rPr>
          <w:rFonts w:ascii="Times New Roman" w:hAnsi="Times New Roman" w:eastAsia="宋体" w:cs="Times New Roman"/>
          <w:w w:val="104"/>
          <w:sz w:val="23"/>
          <w:szCs w:val="23"/>
          <w:vertAlign w:val="superscript"/>
        </w:rPr>
        <w:t>3+</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(2)能层结构相同的离子：核电荷数越大，半径越小。例如：</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(O</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(F</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hint="eastAsia" w:ascii="Times New Roman" w:hAnsi="Times New Roman" w:eastAsia="宋体" w:cs="Times New Roman"/>
          <w:w w:val="104"/>
          <w:sz w:val="23"/>
          <w:szCs w:val="23"/>
        </w:rPr>
        <w:t>_</w:t>
      </w:r>
      <w:r>
        <w:rPr>
          <w:rFonts w:ascii="Times New Roman" w:hAnsi="Times New Roman" w:eastAsia="宋体" w:cs="Times New Roman"/>
          <w:w w:val="104"/>
          <w:sz w:val="23"/>
          <w:szCs w:val="23"/>
        </w:rPr>
        <w:t>________</w:t>
      </w:r>
    </w:p>
    <w:p>
      <w:pPr>
        <w:tabs>
          <w:tab w:val="left" w:pos="3828"/>
        </w:tabs>
        <w:snapToGrid w:val="0"/>
        <w:spacing w:line="360" w:lineRule="auto"/>
        <w:rPr>
          <w:rFonts w:ascii="Times New Roman"/>
        </w:rPr>
      </w:pP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(Na</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(Mg</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(Al</w:t>
      </w:r>
      <w:r>
        <w:rPr>
          <w:rFonts w:ascii="Times New Roman" w:hAnsi="Times New Roman" w:eastAsia="宋体" w:cs="Times New Roman"/>
          <w:w w:val="104"/>
          <w:sz w:val="23"/>
          <w:szCs w:val="23"/>
          <w:vertAlign w:val="superscript"/>
        </w:rPr>
        <w:t>3+</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(3)带相同电荷的离子：能层数越多，半径越大。例如：</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(Li</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(Na</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(K</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(Rb</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(Cs</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(O</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w:t>
      </w:r>
      <w:r>
        <w:rPr>
          <w:rFonts w:hint="eastAsia" w:ascii="Times New Roman" w:hAnsi="Times New Roman" w:eastAsia="宋体" w:cs="Times New Roman"/>
          <w:w w:val="104"/>
          <w:sz w:val="23"/>
          <w:szCs w:val="23"/>
        </w:rPr>
        <w:t>_</w:t>
      </w:r>
      <w:r>
        <w:rPr>
          <w:rFonts w:ascii="Times New Roman" w:hAnsi="Times New Roman" w:eastAsia="宋体" w:cs="Times New Roman"/>
          <w:w w:val="104"/>
          <w:sz w:val="23"/>
          <w:szCs w:val="23"/>
        </w:rPr>
        <w:t>________</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(Se</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(Te</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(4)核电荷数、能层数均不同的离子：可选一种离子参照比较。例如：比较</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(K</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)与</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(Mg</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)，可选</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(Na</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)为参照，</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(K</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hint="eastAsia" w:ascii="Times New Roman" w:hAnsi="Times New Roman" w:eastAsia="宋体" w:cs="Times New Roman"/>
          <w:w w:val="104"/>
          <w:sz w:val="23"/>
          <w:szCs w:val="23"/>
        </w:rPr>
        <w:t>_</w:t>
      </w:r>
      <w:r>
        <w:rPr>
          <w:rFonts w:ascii="Times New Roman" w:hAnsi="Times New Roman" w:eastAsia="宋体" w:cs="Times New Roman"/>
          <w:w w:val="104"/>
          <w:sz w:val="23"/>
          <w:szCs w:val="23"/>
        </w:rPr>
        <w:t>________</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(Na</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w w:val="104"/>
          <w:sz w:val="23"/>
          <w:szCs w:val="23"/>
          <w:u w:val="single"/>
        </w:rPr>
        <w:t>　　</w:t>
      </w:r>
      <w:r>
        <w:rPr>
          <w:rFonts w:ascii="Times New Roman" w:hAnsi="Times New Roman" w:eastAsia="宋体" w:cs="Times New Roman"/>
          <w:i/>
          <w:w w:val="104"/>
          <w:sz w:val="23"/>
          <w:szCs w:val="23"/>
        </w:rPr>
        <w:t>r</w:t>
      </w:r>
      <w:r>
        <w:rPr>
          <w:rFonts w:ascii="Times New Roman" w:hAnsi="Times New Roman" w:eastAsia="宋体" w:cs="Times New Roman"/>
          <w:w w:val="104"/>
          <w:sz w:val="23"/>
          <w:szCs w:val="23"/>
        </w:rPr>
        <w:t>(Mg</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 </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[深度思考]</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1.是否能层数多的元素的原子半径一定大于能层数少的元素的原子半径？</w:t>
      </w:r>
    </w:p>
    <w:p>
      <w:pPr>
        <w:tabs>
          <w:tab w:val="left" w:pos="3828"/>
        </w:tabs>
        <w:snapToGrid w:val="0"/>
        <w:spacing w:line="360" w:lineRule="auto"/>
        <w:rPr>
          <w:rFonts w:ascii="Times New Roman"/>
        </w:rPr>
      </w:pP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2.若短周期元素的离子</w:t>
      </w:r>
      <w:r>
        <w:rPr>
          <w:rFonts w:ascii="Times New Roman" w:hAnsi="Times New Roman" w:eastAsia="宋体" w:cs="Times New Roman"/>
          <w:i/>
          <w:w w:val="104"/>
          <w:sz w:val="23"/>
          <w:szCs w:val="23"/>
          <w:vertAlign w:val="subscript"/>
        </w:rPr>
        <w:t>a</w:t>
      </w:r>
      <w:r>
        <w:rPr>
          <w:rFonts w:ascii="Times New Roman" w:hAnsi="Times New Roman" w:eastAsia="宋体" w:cs="Times New Roman"/>
          <w:w w:val="104"/>
          <w:sz w:val="23"/>
          <w:szCs w:val="23"/>
        </w:rPr>
        <w:t>A</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vertAlign w:val="subscript"/>
        </w:rPr>
        <w:t>b</w:t>
      </w:r>
      <w:r>
        <w:rPr>
          <w:rFonts w:ascii="Times New Roman" w:hAnsi="Times New Roman" w:eastAsia="宋体" w:cs="Times New Roman"/>
          <w:w w:val="104"/>
          <w:sz w:val="23"/>
          <w:szCs w:val="23"/>
        </w:rPr>
        <w:t>B</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vertAlign w:val="subscript"/>
        </w:rPr>
        <w:t>c</w:t>
      </w:r>
      <w:r>
        <w:rPr>
          <w:rFonts w:ascii="Times New Roman" w:hAnsi="Times New Roman" w:eastAsia="宋体" w:cs="Times New Roman"/>
          <w:w w:val="104"/>
          <w:sz w:val="23"/>
          <w:szCs w:val="23"/>
        </w:rPr>
        <w:t>C</w:t>
      </w:r>
      <w:r>
        <w:rPr>
          <w:rFonts w:ascii="Times New Roman" w:hAnsi="Times New Roman" w:eastAsia="宋体" w:cs="Times New Roman"/>
          <w:w w:val="104"/>
          <w:sz w:val="23"/>
          <w:szCs w:val="23"/>
          <w:vertAlign w:val="superscript"/>
        </w:rPr>
        <w:t>3-</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vertAlign w:val="subscript"/>
        </w:rPr>
        <w:t>d</w:t>
      </w:r>
      <w:r>
        <w:rPr>
          <w:rFonts w:ascii="Times New Roman" w:hAnsi="Times New Roman" w:eastAsia="宋体" w:cs="Times New Roman"/>
          <w:w w:val="104"/>
          <w:sz w:val="23"/>
          <w:szCs w:val="23"/>
        </w:rPr>
        <w:t>D</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具有相同的电子层结构。</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(1)四种元素在元素周期表中的相对位置如何？</w:t>
      </w:r>
    </w:p>
    <w:p>
      <w:pPr>
        <w:tabs>
          <w:tab w:val="left" w:pos="3828"/>
        </w:tabs>
        <w:snapToGrid w:val="0"/>
        <w:spacing w:line="360" w:lineRule="auto"/>
        <w:rPr>
          <w:rFonts w:ascii="Times New Roman"/>
          <w:w w:val="104"/>
          <w:sz w:val="23"/>
          <w:szCs w:val="23"/>
        </w:rPr>
      </w:pP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(2)原子序数从大到小的顺序是什么？</w:t>
      </w:r>
    </w:p>
    <w:p>
      <w:pPr>
        <w:tabs>
          <w:tab w:val="left" w:pos="3828"/>
        </w:tabs>
        <w:snapToGrid w:val="0"/>
        <w:spacing w:line="360" w:lineRule="auto"/>
        <w:rPr>
          <w:rFonts w:ascii="Times New Roman"/>
        </w:rPr>
      </w:pP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(3)离子半径由大到小的顺序是什么？</w:t>
      </w:r>
    </w:p>
    <w:p>
      <w:pPr>
        <w:tabs>
          <w:tab w:val="left" w:pos="3828"/>
        </w:tabs>
        <w:snapToGrid w:val="0"/>
        <w:spacing w:line="360" w:lineRule="auto"/>
        <w:rPr>
          <w:rFonts w:ascii="Times New Roman"/>
        </w:rPr>
      </w:pPr>
      <w:bookmarkStart w:id="0" w:name="_GoBack"/>
      <w:bookmarkEnd w:id="0"/>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[应用体验]</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1.正误判断</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(1)核外能层结构相同的单核粒子，半径相同</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(2)质子数相同的不同单核粒子，电子数越多，半径越大</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(3)各元素的原子半径总比其离子半径大</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(4)同周期元素从左到右，原子半径、离子半径均逐渐减小</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2.下列各组微粒不是按半径逐渐增大的顺序排列的是</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A.Na、K、Rb</w:t>
      </w:r>
      <w:r>
        <w:rPr>
          <w:rFonts w:ascii="Times New Roman" w:hAnsi="Times New Roman" w:eastAsia="宋体" w:cs="Times New Roman"/>
          <w:w w:val="104"/>
          <w:sz w:val="23"/>
          <w:szCs w:val="23"/>
        </w:rPr>
        <w:tab/>
      </w:r>
      <w:r>
        <w:rPr>
          <w:rFonts w:ascii="Times New Roman" w:hAnsi="Times New Roman" w:eastAsia="宋体" w:cs="Times New Roman"/>
          <w:w w:val="104"/>
          <w:sz w:val="23"/>
          <w:szCs w:val="23"/>
        </w:rPr>
        <w:t>B.F、Cl、Br</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C.Mg</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、Al</w:t>
      </w:r>
      <w:r>
        <w:rPr>
          <w:rFonts w:ascii="Times New Roman" w:hAnsi="Times New Roman" w:eastAsia="宋体" w:cs="Times New Roman"/>
          <w:w w:val="104"/>
          <w:sz w:val="23"/>
          <w:szCs w:val="23"/>
          <w:vertAlign w:val="superscript"/>
        </w:rPr>
        <w:t>3+</w:t>
      </w:r>
      <w:r>
        <w:rPr>
          <w:rFonts w:ascii="Times New Roman" w:hAnsi="Times New Roman" w:eastAsia="宋体" w:cs="Times New Roman"/>
          <w:w w:val="104"/>
          <w:sz w:val="23"/>
          <w:szCs w:val="23"/>
        </w:rPr>
        <w:t>、Zn</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ab/>
      </w:r>
      <w:r>
        <w:rPr>
          <w:rFonts w:ascii="Times New Roman" w:hAnsi="Times New Roman" w:eastAsia="宋体" w:cs="Times New Roman"/>
          <w:w w:val="104"/>
          <w:sz w:val="23"/>
          <w:szCs w:val="23"/>
        </w:rPr>
        <w:t>D.Cl</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、Br</w:t>
      </w:r>
      <w:r>
        <w:rPr>
          <w:rFonts w:ascii="Times New Roman" w:hAnsi="Times New Roman" w:eastAsia="宋体" w:cs="Times New Roman"/>
          <w:w w:val="104"/>
          <w:sz w:val="23"/>
          <w:szCs w:val="23"/>
          <w:vertAlign w:val="superscript"/>
        </w:rPr>
        <w:t>-</w:t>
      </w:r>
      <w:r>
        <w:rPr>
          <w:rFonts w:ascii="Times New Roman" w:hAnsi="Times New Roman" w:eastAsia="宋体" w:cs="Times New Roman"/>
          <w:w w:val="104"/>
          <w:sz w:val="23"/>
          <w:szCs w:val="23"/>
        </w:rPr>
        <w:t>、I</w:t>
      </w:r>
      <w:r>
        <w:rPr>
          <w:rFonts w:ascii="Times New Roman" w:hAnsi="Times New Roman" w:eastAsia="宋体" w:cs="Times New Roman"/>
          <w:w w:val="104"/>
          <w:sz w:val="23"/>
          <w:szCs w:val="23"/>
          <w:vertAlign w:val="superscript"/>
        </w:rPr>
        <w:t>-</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3.氨硼烷(NH</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BH</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)含氢量高、热稳定性好，是一种具有潜力的固体储氢材料。H、B、N中，原子半径最大的是</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[方法规律]</w:t>
      </w:r>
    </w:p>
    <w:p>
      <w:pPr>
        <w:tabs>
          <w:tab w:val="left" w:pos="3828"/>
        </w:tabs>
        <w:snapToGrid w:val="0"/>
        <w:spacing w:line="360" w:lineRule="auto"/>
        <w:jc w:val="center"/>
        <w:rPr>
          <w:rFonts w:ascii="Times New Roman"/>
        </w:rPr>
      </w:pPr>
      <w:r>
        <w:rPr>
          <w:rFonts w:ascii="Times New Roman" w:hAnsi="Times New Roman" w:eastAsia="宋体" w:cs="Times New Roman"/>
        </w:rPr>
        <w:t>粒子半径比较的一般思路</w:t>
      </w:r>
    </w:p>
    <w:p>
      <w:pPr>
        <w:tabs>
          <w:tab w:val="left" w:pos="3828"/>
        </w:tabs>
        <w:snapToGrid w:val="0"/>
        <w:spacing w:line="360" w:lineRule="auto"/>
        <w:rPr>
          <w:rFonts w:ascii="Times New Roman"/>
        </w:rPr>
      </w:pPr>
      <w:r>
        <w:rPr>
          <w:rFonts w:ascii="Times New Roman" w:hAnsi="Times New Roman" w:eastAsia="宋体" w:cs="Times New Roman"/>
        </w:rPr>
        <w:t>(1)“一层”：先看能层数，能层数越多，一般微粒半径越大。</w:t>
      </w:r>
    </w:p>
    <w:p>
      <w:pPr>
        <w:tabs>
          <w:tab w:val="left" w:pos="3828"/>
        </w:tabs>
        <w:snapToGrid w:val="0"/>
        <w:spacing w:line="360" w:lineRule="auto"/>
        <w:rPr>
          <w:rFonts w:ascii="Times New Roman"/>
        </w:rPr>
      </w:pPr>
      <w:r>
        <w:rPr>
          <w:rFonts w:ascii="Times New Roman" w:hAnsi="Times New Roman" w:eastAsia="宋体" w:cs="Times New Roman"/>
        </w:rPr>
        <w:t>(2)“二核”：若能层数相同，则看核电荷数，核电荷数越大，微粒半径越小。</w:t>
      </w:r>
    </w:p>
    <w:p>
      <w:pPr>
        <w:tabs>
          <w:tab w:val="left" w:pos="3828"/>
        </w:tabs>
        <w:snapToGrid w:val="0"/>
        <w:spacing w:line="360" w:lineRule="auto"/>
        <w:rPr>
          <w:rFonts w:ascii="Times New Roman"/>
        </w:rPr>
      </w:pPr>
      <w:r>
        <w:rPr>
          <w:rFonts w:ascii="Times New Roman" w:hAnsi="Times New Roman" w:eastAsia="宋体" w:cs="Times New Roman"/>
        </w:rPr>
        <w:t>(3)“三电子”：若能层数、核电荷数均相同，则看核外电子数，电子数多的半径大。</w:t>
      </w:r>
    </w:p>
    <w:p>
      <w:pPr>
        <w:tabs>
          <w:tab w:val="left" w:pos="3828"/>
        </w:tabs>
        <w:snapToGrid w:val="0"/>
        <w:spacing w:line="360" w:lineRule="auto"/>
        <w:jc w:val="center"/>
        <w:rPr>
          <w:rFonts w:ascii="Times New Roman" w:eastAsia="方正大黑_GBK"/>
          <w:sz w:val="31"/>
          <w:szCs w:val="31"/>
        </w:rPr>
      </w:pPr>
      <w:r>
        <w:rPr>
          <w:rFonts w:ascii="Times New Roman" w:hAnsi="Times New Roman" w:eastAsia="宋体" w:cs="Times New Roman"/>
          <w:sz w:val="31"/>
          <w:szCs w:val="31"/>
        </w:rPr>
        <w:t>二、电离能</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1.电离能的概念</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原子失去一个电子转化为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正离子所需要的</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叫做第一电离能，符号：</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1</w:t>
      </w:r>
      <w:r>
        <w:rPr>
          <w:rFonts w:ascii="Times New Roman" w:hAnsi="Times New Roman" w:eastAsia="宋体" w:cs="Times New Roman"/>
          <w:w w:val="104"/>
          <w:sz w:val="23"/>
          <w:szCs w:val="23"/>
        </w:rPr>
        <w:t>。可以衡量元素的气态原子失去一个电子的</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(2)各级电离能：+1价气态基态正离子失去一个电子，形成+2价气态基态正离子所需的最低能量叫第二电离能，用</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表示；+2价气态基态正离子再失去一个电子，形成+3价气态基态正离子所需的最低能量叫做第三电离能，用</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表示，依次类推。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2.电离能的变化规律</w:t>
      </w:r>
    </w:p>
    <w:p>
      <w:pPr>
        <w:tabs>
          <w:tab w:val="left" w:pos="3828"/>
        </w:tabs>
        <w:snapToGrid w:val="0"/>
        <w:spacing w:line="360" w:lineRule="auto"/>
        <w:jc w:val="center"/>
        <w:rPr>
          <w:rFonts w:ascii="Times New Roman"/>
        </w:rPr>
      </w:pPr>
      <w:r>
        <w:drawing>
          <wp:inline distT="0" distB="0" distL="0" distR="0">
            <wp:extent cx="2519680" cy="1763395"/>
            <wp:effectExtent l="0" t="0" r="0" b="0"/>
            <wp:docPr id="2"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7.jpeg"/>
                    <pic:cNvPicPr>
                      <a:picLocks noChangeAspect="1"/>
                    </pic:cNvPicPr>
                  </pic:nvPicPr>
                  <pic:blipFill>
                    <a:blip r:embed="rId5"/>
                    <a:stretch>
                      <a:fillRect/>
                    </a:stretch>
                  </pic:blipFill>
                  <pic:spPr>
                    <a:xfrm>
                      <a:off x="0" y="0"/>
                      <a:ext cx="2520000" cy="1764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(1)每个周期的第一种元素(氢和碱金属)的第一电离能</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，最后一种元素(稀有气体)的第一电离能</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，即一般来说，同周期随着核电荷数的递增，元素的第一电离能呈</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趋势。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(2)同族元素从上到下第一电离能逐渐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(3)同种原子的逐级电离能越来越</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1</w:t>
      </w:r>
      <w:r>
        <w:rPr>
          <w:rFonts w:ascii="Times New Roman" w:hAnsi="Times New Roman" w:eastAsia="宋体" w:cs="Times New Roman"/>
          <w:w w:val="104"/>
          <w:sz w:val="23"/>
          <w:szCs w:val="23"/>
        </w:rPr>
        <w:t>&lt;</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&lt;</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3.电离能的应用</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(1)判断元素的金属性、非金属性强弱：</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1</w:t>
      </w:r>
      <w:r>
        <w:rPr>
          <w:rFonts w:ascii="Times New Roman" w:hAnsi="Times New Roman" w:eastAsia="宋体" w:cs="Times New Roman"/>
          <w:w w:val="104"/>
          <w:sz w:val="23"/>
          <w:szCs w:val="23"/>
        </w:rPr>
        <w:t>越大，元素的</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性越强；</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1</w:t>
      </w:r>
      <w:r>
        <w:rPr>
          <w:rFonts w:ascii="Times New Roman" w:hAnsi="Times New Roman" w:eastAsia="宋体" w:cs="Times New Roman"/>
          <w:w w:val="104"/>
          <w:sz w:val="23"/>
          <w:szCs w:val="23"/>
        </w:rPr>
        <w:t>越小，元素的</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性越强。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(2)确定元素原子的核外电子层排布</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由于电子是分层排布的，内层电子比外层电子难失去，因此元素的电离能会发生突变。</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(3)确定元素的化合价</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若某元素的电离能：</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1</w:t>
      </w:r>
      <w:r>
        <w:rPr>
          <w:rFonts w:ascii="Times New Roman" w:hAnsi="Times New Roman" w:eastAsia="宋体" w:cs="Times New Roman"/>
          <w:w w:val="104"/>
          <w:sz w:val="23"/>
          <w:szCs w:val="23"/>
        </w:rPr>
        <w:t>，则该元素通常显+1价；若</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，则该元素通常显+2价；若</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4</w:t>
      </w:r>
      <w:r>
        <w:rPr>
          <w:rFonts w:ascii="Times New Roman" w:hAnsi="Times New Roman" w:eastAsia="宋体" w:cs="Times New Roman"/>
          <w:w w:val="104"/>
          <w:sz w:val="23"/>
          <w:szCs w:val="23"/>
        </w:rPr>
        <w:t>≫</w:t>
      </w:r>
      <w:r>
        <w:rPr>
          <w:rFonts w:ascii="Times New Roman" w:hAnsi="Times New Roman" w:eastAsia="宋体" w:cs="Times New Roman"/>
          <w:i/>
          <w:w w:val="104"/>
          <w:sz w:val="23"/>
          <w:szCs w:val="23"/>
        </w:rPr>
        <w:t>I</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，则该元素通常显+3价。</w:t>
      </w:r>
    </w:p>
    <w:p>
      <w:pPr>
        <w:tabs>
          <w:tab w:val="left" w:pos="3828"/>
        </w:tabs>
        <w:snapToGrid w:val="0"/>
        <w:spacing w:line="360" w:lineRule="auto"/>
        <w:rPr>
          <w:rFonts w:ascii="Times New Roman"/>
        </w:rPr>
      </w:pPr>
      <w:r>
        <w:rPr>
          <w:rFonts w:ascii="Times New Roman" w:hAnsi="Times New Roman" w:eastAsia="宋体" w:cs="Times New Roman"/>
        </w:rPr>
        <w:t>特别提醒——电离能的影响因素及特例</w:t>
      </w:r>
    </w:p>
    <w:p>
      <w:pPr>
        <w:tabs>
          <w:tab w:val="left" w:pos="3828"/>
        </w:tabs>
        <w:snapToGrid w:val="0"/>
        <w:spacing w:line="360" w:lineRule="auto"/>
        <w:rPr>
          <w:rFonts w:ascii="Times New Roman"/>
        </w:rPr>
      </w:pPr>
      <w:r>
        <w:rPr>
          <w:rFonts w:ascii="Times New Roman" w:hAnsi="Times New Roman" w:eastAsia="宋体" w:cs="Times New Roman"/>
        </w:rPr>
        <w:t>(1)电离能数值的大小主要取决于原子的核电荷数、原子半径及原子的电子排布。</w:t>
      </w:r>
    </w:p>
    <w:p>
      <w:pPr>
        <w:tabs>
          <w:tab w:val="left" w:pos="3828"/>
        </w:tabs>
        <w:snapToGrid w:val="0"/>
        <w:spacing w:line="360" w:lineRule="auto"/>
        <w:rPr>
          <w:rFonts w:ascii="Times New Roman"/>
        </w:rPr>
      </w:pPr>
      <w:r>
        <w:rPr>
          <w:rFonts w:ascii="Times New Roman" w:hAnsi="Times New Roman" w:eastAsia="宋体" w:cs="Times New Roman"/>
        </w:rPr>
        <w:t>(2)具有全充满、半充满及全空的电子排布的元素原子稳定性较高，其电离能数值较大，如稀有气体的电离能在同周期元素中最大，N为半充满、Mg为全充满状态，其电离能均比同周期相邻元素的大。一般情况下，第一电离能：</w:t>
      </w:r>
      <w:r>
        <w:rPr>
          <w:rFonts w:hint="eastAsia" w:ascii="Times New Roman" w:hAnsi="Times New Roman" w:eastAsia="宋体" w:cs="Times New Roman"/>
        </w:rPr>
        <w:t>Ⅱ</w:t>
      </w:r>
      <w:r>
        <w:rPr>
          <w:rFonts w:ascii="Times New Roman" w:hAnsi="Times New Roman" w:eastAsia="宋体" w:cs="Times New Roman"/>
        </w:rPr>
        <w:t>A&gt;</w:t>
      </w:r>
      <w:r>
        <w:rPr>
          <w:rFonts w:hint="eastAsia" w:ascii="Times New Roman" w:hAnsi="Times New Roman" w:eastAsia="宋体" w:cs="Times New Roman"/>
        </w:rPr>
        <w:t>Ⅲ</w:t>
      </w:r>
      <w:r>
        <w:rPr>
          <w:rFonts w:ascii="Times New Roman" w:hAnsi="Times New Roman" w:eastAsia="宋体" w:cs="Times New Roman"/>
        </w:rPr>
        <w:t>A，</w:t>
      </w:r>
      <w:r>
        <w:rPr>
          <w:rFonts w:hint="eastAsia" w:ascii="Times New Roman" w:hAnsi="Times New Roman" w:eastAsia="宋体" w:cs="Times New Roman"/>
        </w:rPr>
        <w:t>Ⅴ</w:t>
      </w:r>
      <w:r>
        <w:rPr>
          <w:rFonts w:ascii="Times New Roman" w:hAnsi="Times New Roman" w:eastAsia="宋体" w:cs="Times New Roman"/>
        </w:rPr>
        <w:t>A&gt;</w:t>
      </w:r>
      <w:r>
        <w:rPr>
          <w:rFonts w:hint="eastAsia" w:ascii="Times New Roman" w:hAnsi="Times New Roman" w:eastAsia="宋体" w:cs="Times New Roman"/>
        </w:rPr>
        <w:t>Ⅵ</w:t>
      </w:r>
      <w:r>
        <w:rPr>
          <w:rFonts w:ascii="Times New Roman" w:hAnsi="Times New Roman" w:eastAsia="宋体" w:cs="Times New Roman"/>
        </w:rPr>
        <w:t>A。</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[深度思考]</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1.元素周期表中，第一电离能最大的是哪个元素？第一电离能最小的应出现在元素周期表什么位置？</w:t>
      </w:r>
    </w:p>
    <w:p>
      <w:pPr>
        <w:tabs>
          <w:tab w:val="left" w:pos="3828"/>
        </w:tabs>
        <w:snapToGrid w:val="0"/>
        <w:spacing w:line="360" w:lineRule="auto"/>
        <w:rPr>
          <w:rFonts w:ascii="Times New Roman"/>
          <w:w w:val="104"/>
          <w:sz w:val="23"/>
          <w:szCs w:val="23"/>
        </w:rPr>
      </w:pPr>
    </w:p>
    <w:p>
      <w:pPr>
        <w:tabs>
          <w:tab w:val="left" w:pos="3828"/>
        </w:tabs>
        <w:snapToGrid w:val="0"/>
        <w:spacing w:line="360" w:lineRule="auto"/>
        <w:rPr>
          <w:rFonts w:ascii="Times New Roman"/>
          <w:w w:val="104"/>
          <w:sz w:val="23"/>
          <w:szCs w:val="23"/>
        </w:rPr>
      </w:pPr>
    </w:p>
    <w:p>
      <w:pPr>
        <w:tabs>
          <w:tab w:val="left" w:pos="3828"/>
        </w:tabs>
        <w:snapToGrid w:val="0"/>
        <w:spacing w:line="360" w:lineRule="auto"/>
        <w:rPr>
          <w:rFonts w:ascii="Times New Roman"/>
          <w:w w:val="104"/>
          <w:sz w:val="23"/>
          <w:szCs w:val="23"/>
        </w:rPr>
      </w:pP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2.下表是钠、镁、铝逐级失去电子的电离能：</w:t>
      </w:r>
    </w:p>
    <w:tbl>
      <w:tblPr>
        <w:tblStyle w:val="9"/>
        <w:tblW w:w="0" w:type="auto"/>
        <w:jc w:val="center"/>
        <w:tblBorders>
          <w:top w:val="none" w:color="auto" w:sz="0" w:space="0"/>
          <w:left w:val="single" w:color="000000" w:sz="2" w:space="0"/>
          <w:bottom w:val="single" w:color="000000" w:sz="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0"/>
        <w:gridCol w:w="840"/>
        <w:gridCol w:w="840"/>
        <w:gridCol w:w="840"/>
      </w:tblGrid>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元素</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Na</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Mg</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Al</w:t>
            </w:r>
          </w:p>
        </w:tc>
      </w:tr>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vMerge w:val="restart"/>
            <w:tcBorders>
              <w:top w:val="single" w:color="000000" w:sz="2" w:space="0"/>
              <w:left w:val="single" w:color="000000" w:sz="2" w:space="0"/>
              <w:bottom w:val="nil"/>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m:oMathPara>
              <m:oMath>
                <m:f>
                  <m:fPr>
                    <m:ctrlPr>
                      <w:rPr>
                        <w:rFonts w:ascii="Cambria Math" w:hAnsi="Cambria Math"/>
                      </w:rPr>
                    </m:ctrlPr>
                  </m:fPr>
                  <m:num>
                    <m:r>
                      <m:rPr>
                        <m:sty m:val="p"/>
                      </m:rPr>
                      <w:rPr>
                        <w:rFonts w:ascii="Times New Roman" w:hAnsi="Times New Roman" w:eastAsia="宋体" w:cs="Times New Roman"/>
                      </w:rPr>
                      <m:t>电离能</m:t>
                    </m:r>
                    <m:ctrlPr>
                      <w:rPr>
                        <w:rFonts w:ascii="Cambria Math" w:hAnsi="Cambria Math"/>
                      </w:rPr>
                    </m:ctrlPr>
                  </m:num>
                  <m:den>
                    <m:r>
                      <m:rPr>
                        <m:sty m:val="p"/>
                      </m:rPr>
                      <w:rPr>
                        <w:rFonts w:ascii="Times New Roman" w:hAnsi="Times New Roman" w:eastAsia="宋体" w:cs="Times New Roman"/>
                      </w:rPr>
                      <m:t>(kJ</m:t>
                    </m:r>
                    <m:r>
                      <m:rPr/>
                      <w:rPr>
                        <w:rFonts w:ascii="Times New Roman" w:hAnsi="Times New Roman" w:eastAsia="宋体" w:cs="Times New Roman"/>
                      </w:rPr>
                      <m:t>·</m:t>
                    </m:r>
                    <m:r>
                      <m:rPr>
                        <m:sty m:val="p"/>
                      </m:rPr>
                      <w:rPr>
                        <w:rFonts w:ascii="Times New Roman" w:hAnsi="Times New Roman" w:eastAsia="宋体" w:cs="Times New Roman"/>
                      </w:rPr>
                      <m:t>mo</m:t>
                    </m:r>
                    <m:sSup>
                      <m:sSupPr>
                        <m:ctrlPr>
                          <w:rPr>
                            <w:rFonts w:ascii="Cambria Math" w:hAnsi="Cambria Math"/>
                          </w:rPr>
                        </m:ctrlPr>
                      </m:sSupPr>
                      <m:e>
                        <m:r>
                          <m:rPr>
                            <m:sty m:val="p"/>
                          </m:rPr>
                          <w:rPr>
                            <w:rFonts w:ascii="Times New Roman" w:hAnsi="Times New Roman" w:eastAsia="宋体" w:cs="Times New Roman"/>
                          </w:rPr>
                          <m:t>l</m:t>
                        </m:r>
                        <m:ctrlPr>
                          <w:rPr>
                            <w:rFonts w:ascii="Cambria Math" w:hAnsi="Cambria Math"/>
                          </w:rPr>
                        </m:ctrlPr>
                      </m:e>
                      <m:sup>
                        <m:r>
                          <m:rPr>
                            <m:sty m:val="p"/>
                          </m:rPr>
                          <w:rPr>
                            <w:rFonts w:ascii="Times New Roman" w:hAnsi="Times New Roman" w:eastAsia="宋体" w:cs="Times New Roman"/>
                          </w:rPr>
                          <m:t>−1</m:t>
                        </m:r>
                        <m:ctrlPr>
                          <w:rPr>
                            <w:rFonts w:ascii="Cambria Math" w:hAnsi="Cambria Math"/>
                          </w:rPr>
                        </m:ctrlPr>
                      </m:sup>
                    </m:sSup>
                    <m:r>
                      <m:rPr>
                        <m:sty m:val="p"/>
                      </m:rPr>
                      <w:rPr>
                        <w:rFonts w:ascii="Times New Roman" w:hAnsi="Times New Roman" w:eastAsia="宋体" w:cs="Times New Roman"/>
                      </w:rPr>
                      <m:t>)</m:t>
                    </m:r>
                    <m:ctrlPr>
                      <w:rPr>
                        <w:rFonts w:ascii="Cambria Math" w:hAnsi="Cambria Math"/>
                      </w:rPr>
                    </m:ctrlPr>
                  </m:den>
                </m:f>
              </m:oMath>
            </m:oMathPara>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496</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738</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578</w:t>
            </w:r>
          </w:p>
        </w:tc>
      </w:tr>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vMerge w:val="continue"/>
            <w:tcBorders>
              <w:top w:val="nil"/>
              <w:left w:val="single" w:color="000000" w:sz="2" w:space="0"/>
              <w:bottom w:val="nil"/>
              <w:right w:val="single" w:color="000000" w:sz="2" w:space="0"/>
            </w:tcBorders>
            <w:tcMar>
              <w:top w:w="23" w:type="dxa"/>
              <w:left w:w="23" w:type="dxa"/>
              <w:bottom w:w="23" w:type="dxa"/>
              <w:right w:w="23" w:type="dxa"/>
            </w:tcMar>
            <w:vAlign w:val="center"/>
          </w:tcPr>
          <w:p>
            <w:pPr>
              <w:pStyle w:val="5"/>
              <w:tabs>
                <w:tab w:val="left" w:pos="3828"/>
              </w:tabs>
              <w:snapToGrid w:val="0"/>
              <w:spacing w:line="360" w:lineRule="auto"/>
              <w:rPr>
                <w:rFonts w:ascii="Times New Roman"/>
              </w:rPr>
            </w:pP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4 562</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1 451</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1 817</w:t>
            </w:r>
          </w:p>
        </w:tc>
      </w:tr>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vMerge w:val="continue"/>
            <w:tcBorders>
              <w:top w:val="nil"/>
              <w:left w:val="single" w:color="000000" w:sz="2" w:space="0"/>
              <w:bottom w:val="nil"/>
              <w:right w:val="single" w:color="000000" w:sz="2" w:space="0"/>
            </w:tcBorders>
            <w:tcMar>
              <w:top w:w="23" w:type="dxa"/>
              <w:left w:w="23" w:type="dxa"/>
              <w:bottom w:w="23" w:type="dxa"/>
              <w:right w:w="23" w:type="dxa"/>
            </w:tcMar>
            <w:vAlign w:val="center"/>
          </w:tcPr>
          <w:p>
            <w:pPr>
              <w:pStyle w:val="5"/>
              <w:tabs>
                <w:tab w:val="left" w:pos="3828"/>
              </w:tabs>
              <w:snapToGrid w:val="0"/>
              <w:spacing w:line="360" w:lineRule="auto"/>
              <w:rPr>
                <w:rFonts w:ascii="Times New Roman"/>
              </w:rPr>
            </w:pP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6 912</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7 733</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2 745</w:t>
            </w:r>
          </w:p>
        </w:tc>
      </w:tr>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vMerge w:val="continue"/>
            <w:tcBorders>
              <w:top w:val="nil"/>
              <w:left w:val="single" w:color="000000" w:sz="2" w:space="0"/>
              <w:bottom w:val="nil"/>
              <w:right w:val="single" w:color="000000" w:sz="2" w:space="0"/>
            </w:tcBorders>
            <w:tcMar>
              <w:top w:w="23" w:type="dxa"/>
              <w:left w:w="23" w:type="dxa"/>
              <w:bottom w:w="23" w:type="dxa"/>
              <w:right w:w="23" w:type="dxa"/>
            </w:tcMar>
            <w:vAlign w:val="center"/>
          </w:tcPr>
          <w:p>
            <w:pPr>
              <w:pStyle w:val="5"/>
              <w:tabs>
                <w:tab w:val="left" w:pos="3828"/>
              </w:tabs>
              <w:snapToGrid w:val="0"/>
              <w:spacing w:line="360" w:lineRule="auto"/>
              <w:rPr>
                <w:rFonts w:ascii="Times New Roman"/>
              </w:rPr>
            </w:pP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9 543</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10 540</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11 575</w:t>
            </w:r>
          </w:p>
        </w:tc>
      </w:tr>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vMerge w:val="continue"/>
            <w:tcBorders>
              <w:top w:val="nil"/>
              <w:left w:val="single" w:color="000000" w:sz="2" w:space="0"/>
              <w:bottom w:val="nil"/>
              <w:right w:val="single" w:color="000000" w:sz="2" w:space="0"/>
            </w:tcBorders>
            <w:tcMar>
              <w:top w:w="23" w:type="dxa"/>
              <w:left w:w="23" w:type="dxa"/>
              <w:bottom w:w="23" w:type="dxa"/>
              <w:right w:w="23" w:type="dxa"/>
            </w:tcMar>
            <w:vAlign w:val="center"/>
          </w:tcPr>
          <w:p>
            <w:pPr>
              <w:pStyle w:val="5"/>
              <w:tabs>
                <w:tab w:val="left" w:pos="3828"/>
              </w:tabs>
              <w:snapToGrid w:val="0"/>
              <w:spacing w:line="360" w:lineRule="auto"/>
              <w:rPr>
                <w:rFonts w:ascii="Times New Roman"/>
              </w:rPr>
            </w:pP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13 353</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13 630</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14 830</w:t>
            </w:r>
          </w:p>
        </w:tc>
      </w:tr>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vMerge w:val="continue"/>
            <w:tcBorders>
              <w:top w:val="nil"/>
              <w:left w:val="single" w:color="000000" w:sz="2" w:space="0"/>
              <w:bottom w:val="nil"/>
              <w:right w:val="single" w:color="000000" w:sz="2" w:space="0"/>
            </w:tcBorders>
            <w:tcMar>
              <w:top w:w="23" w:type="dxa"/>
              <w:left w:w="23" w:type="dxa"/>
              <w:bottom w:w="23" w:type="dxa"/>
              <w:right w:w="23" w:type="dxa"/>
            </w:tcMar>
            <w:vAlign w:val="center"/>
          </w:tcPr>
          <w:p>
            <w:pPr>
              <w:pStyle w:val="5"/>
              <w:tabs>
                <w:tab w:val="left" w:pos="3828"/>
              </w:tabs>
              <w:snapToGrid w:val="0"/>
              <w:spacing w:line="360" w:lineRule="auto"/>
              <w:rPr>
                <w:rFonts w:ascii="Times New Roman"/>
              </w:rPr>
            </w:pP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16 610</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17 995</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18 376</w:t>
            </w:r>
          </w:p>
        </w:tc>
      </w:tr>
      <w:tr>
        <w:tblPrEx>
          <w:tblBorders>
            <w:top w:val="none" w:color="auto" w:sz="0" w:space="0"/>
            <w:left w:val="single" w:color="000000" w:sz="2" w:space="0"/>
            <w:bottom w:val="single" w:color="000000" w:sz="2" w:space="0"/>
            <w:right w:val="none" w:color="auto" w:sz="0" w:space="0"/>
            <w:insideH w:val="none" w:color="auto" w:sz="0" w:space="0"/>
            <w:insideV w:val="none" w:color="auto" w:sz="0" w:space="0"/>
          </w:tblBorders>
        </w:tblPrEx>
        <w:trPr>
          <w:trHeight w:val="333" w:hRule="atLeast"/>
          <w:jc w:val="center"/>
        </w:trPr>
        <w:tc>
          <w:tcPr>
            <w:tcW w:w="1680" w:type="dxa"/>
            <w:vMerge w:val="continue"/>
            <w:tcBorders>
              <w:top w:val="nil"/>
              <w:left w:val="single" w:color="000000" w:sz="2" w:space="0"/>
              <w:bottom w:val="single" w:color="000000" w:sz="2" w:space="0"/>
              <w:right w:val="single" w:color="000000" w:sz="2" w:space="0"/>
            </w:tcBorders>
            <w:tcMar>
              <w:top w:w="23" w:type="dxa"/>
              <w:left w:w="23" w:type="dxa"/>
              <w:bottom w:w="23" w:type="dxa"/>
              <w:right w:w="23" w:type="dxa"/>
            </w:tcMar>
            <w:vAlign w:val="center"/>
          </w:tcPr>
          <w:p>
            <w:pPr>
              <w:pStyle w:val="5"/>
              <w:tabs>
                <w:tab w:val="left" w:pos="3828"/>
              </w:tabs>
              <w:snapToGrid w:val="0"/>
              <w:spacing w:line="360" w:lineRule="auto"/>
              <w:rPr>
                <w:rFonts w:ascii="Times New Roman"/>
              </w:rPr>
            </w:pP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20 114</w:t>
            </w:r>
          </w:p>
        </w:tc>
        <w:tc>
          <w:tcPr>
            <w:tcW w:w="84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 xml:space="preserve"> 21 703</w:t>
            </w:r>
          </w:p>
        </w:tc>
        <w:tc>
          <w:tcPr>
            <w:tcW w:w="840" w:type="dxa"/>
            <w:tcBorders>
              <w:top w:val="single" w:color="000000" w:sz="2" w:space="0"/>
              <w:left w:val="single" w:color="000000" w:sz="2" w:space="0"/>
              <w:bottom w:val="single" w:color="000000" w:sz="2" w:space="0"/>
              <w:right w:val="single" w:color="000000" w:sz="4"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sz w:val="21"/>
                <w:szCs w:val="21"/>
              </w:rPr>
            </w:pPr>
            <w:r>
              <w:rPr>
                <w:rFonts w:ascii="Times New Roman" w:hAnsi="Times New Roman" w:eastAsia="宋体" w:cs="Times New Roman"/>
                <w:sz w:val="21"/>
                <w:szCs w:val="21"/>
              </w:rPr>
              <w:t>23 293</w:t>
            </w:r>
          </w:p>
        </w:tc>
      </w:tr>
    </w:tbl>
    <w:p>
      <w:pPr>
        <w:tabs>
          <w:tab w:val="left" w:pos="3828"/>
        </w:tabs>
        <w:snapToGrid w:val="0"/>
        <w:spacing w:line="360" w:lineRule="auto"/>
        <w:rPr>
          <w:rFonts w:ascii="Times New Roman"/>
          <w:w w:val="104"/>
          <w:sz w:val="23"/>
          <w:szCs w:val="23"/>
        </w:rPr>
      </w:pP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(1)为什么同一元素的电离能逐级增大？</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(2)为什么钠、镁、铝的化合价分别为+1、+2、+3？</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[应用体验]</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1.正误判断</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(1)第一电离能越大的原子失电子的能力越强</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(2)铝的第一电离能比镁的第一电离能大</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(3)在所有元素中，氟元素的第一电离能最大</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(4)同一周期中，主族元素原子的第一电离能从左到右越来越大</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(5)同一周期典型金属元素的第一电离能总是小于典型非金属元素的第一电离能</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2.在下面的电子结构中，第一电离能最小的原子可能是</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A.3s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3p</w:t>
      </w:r>
      <w:r>
        <w:rPr>
          <w:rFonts w:ascii="Times New Roman" w:hAnsi="Times New Roman" w:eastAsia="宋体" w:cs="Times New Roman"/>
          <w:w w:val="104"/>
          <w:sz w:val="23"/>
          <w:szCs w:val="23"/>
          <w:vertAlign w:val="superscript"/>
        </w:rPr>
        <w:t>3</w:t>
      </w:r>
      <w:r>
        <w:rPr>
          <w:rFonts w:ascii="Times New Roman" w:hAnsi="Times New Roman" w:eastAsia="宋体" w:cs="Times New Roman"/>
          <w:w w:val="104"/>
          <w:sz w:val="23"/>
          <w:szCs w:val="23"/>
        </w:rPr>
        <w:tab/>
      </w:r>
      <w:r>
        <w:rPr>
          <w:rFonts w:ascii="Times New Roman" w:hAnsi="Times New Roman" w:eastAsia="宋体" w:cs="Times New Roman"/>
          <w:w w:val="104"/>
          <w:sz w:val="23"/>
          <w:szCs w:val="23"/>
        </w:rPr>
        <w:t>B.3s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3p</w:t>
      </w:r>
      <w:r>
        <w:rPr>
          <w:rFonts w:ascii="Times New Roman" w:hAnsi="Times New Roman" w:eastAsia="宋体" w:cs="Times New Roman"/>
          <w:w w:val="104"/>
          <w:sz w:val="23"/>
          <w:szCs w:val="23"/>
          <w:vertAlign w:val="superscript"/>
        </w:rPr>
        <w:t>5</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C.3s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3p</w:t>
      </w:r>
      <w:r>
        <w:rPr>
          <w:rFonts w:ascii="Times New Roman" w:hAnsi="Times New Roman" w:eastAsia="宋体" w:cs="Times New Roman"/>
          <w:w w:val="104"/>
          <w:sz w:val="23"/>
          <w:szCs w:val="23"/>
          <w:vertAlign w:val="superscript"/>
        </w:rPr>
        <w:t>4</w:t>
      </w:r>
      <w:r>
        <w:rPr>
          <w:rFonts w:ascii="Times New Roman" w:hAnsi="Times New Roman" w:eastAsia="宋体" w:cs="Times New Roman"/>
          <w:w w:val="104"/>
          <w:sz w:val="23"/>
          <w:szCs w:val="23"/>
        </w:rPr>
        <w:tab/>
      </w:r>
      <w:r>
        <w:rPr>
          <w:rFonts w:ascii="Times New Roman" w:hAnsi="Times New Roman" w:eastAsia="宋体" w:cs="Times New Roman"/>
          <w:w w:val="104"/>
          <w:sz w:val="23"/>
          <w:szCs w:val="23"/>
        </w:rPr>
        <w:t>D.3s</w:t>
      </w:r>
      <w:r>
        <w:rPr>
          <w:rFonts w:ascii="Times New Roman" w:hAnsi="Times New Roman" w:eastAsia="宋体" w:cs="Times New Roman"/>
          <w:w w:val="104"/>
          <w:sz w:val="23"/>
          <w:szCs w:val="23"/>
          <w:vertAlign w:val="superscript"/>
        </w:rPr>
        <w:t>2</w:t>
      </w:r>
      <w:r>
        <w:rPr>
          <w:rFonts w:ascii="Times New Roman" w:hAnsi="Times New Roman" w:eastAsia="宋体" w:cs="Times New Roman"/>
          <w:w w:val="104"/>
          <w:sz w:val="23"/>
          <w:szCs w:val="23"/>
        </w:rPr>
        <w:t>3p</w:t>
      </w:r>
      <w:r>
        <w:rPr>
          <w:rFonts w:ascii="Times New Roman" w:hAnsi="Times New Roman" w:eastAsia="宋体" w:cs="Times New Roman"/>
          <w:w w:val="104"/>
          <w:sz w:val="23"/>
          <w:szCs w:val="23"/>
          <w:vertAlign w:val="superscript"/>
        </w:rPr>
        <w:t>6</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3.(1)C、N、O元素的第一电离能由大到小的顺序为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(2)下列状态的镁中，电离最外层一个电子所需能量最大的是</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(填标号)。 </w:t>
      </w:r>
    </w:p>
    <w:p>
      <w:pPr>
        <w:tabs>
          <w:tab w:val="left" w:pos="3828"/>
        </w:tabs>
        <w:snapToGrid w:val="0"/>
        <w:spacing w:line="360" w:lineRule="auto"/>
        <w:jc w:val="center"/>
        <w:rPr>
          <w:rFonts w:ascii="Times New Roman"/>
        </w:rPr>
      </w:pPr>
      <w:r>
        <w:rPr>
          <w:rFonts w:ascii="Times New Roman"/>
        </w:rPr>
        <w:drawing>
          <wp:inline distT="0" distB="0" distL="0" distR="0">
            <wp:extent cx="2591435" cy="431800"/>
            <wp:effectExtent l="0" t="0" r="0" b="0"/>
            <wp:docPr id="108" name="image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96.jpeg"/>
                    <pic:cNvPicPr>
                      <a:picLocks noChangeAspect="1"/>
                    </pic:cNvPicPr>
                  </pic:nvPicPr>
                  <pic:blipFill>
                    <a:blip r:embed="rId6"/>
                    <a:stretch>
                      <a:fillRect/>
                    </a:stretch>
                  </pic:blipFill>
                  <pic:spPr>
                    <a:xfrm>
                      <a:off x="0" y="0"/>
                      <a:ext cx="2592000" cy="432000"/>
                    </a:xfrm>
                    <a:prstGeom prst="rect">
                      <a:avLst/>
                    </a:prstGeom>
                  </pic:spPr>
                </pic:pic>
              </a:graphicData>
            </a:graphic>
          </wp:inline>
        </w:drawing>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[易错提醒]</w:t>
      </w:r>
    </w:p>
    <w:p>
      <w:pPr>
        <w:tabs>
          <w:tab w:val="left" w:pos="3828"/>
        </w:tabs>
        <w:snapToGrid w:val="0"/>
        <w:spacing w:line="360" w:lineRule="auto"/>
        <w:rPr>
          <w:rFonts w:ascii="Times New Roman"/>
        </w:rPr>
      </w:pPr>
      <w:r>
        <w:rPr>
          <w:rFonts w:ascii="Times New Roman" w:hAnsi="Times New Roman" w:eastAsia="宋体" w:cs="Times New Roman"/>
        </w:rPr>
        <w:t xml:space="preserve"> (1)第一电离能与元素的金属性有本质的区别。</w:t>
      </w:r>
    </w:p>
    <w:p>
      <w:pPr>
        <w:tabs>
          <w:tab w:val="left" w:pos="3828"/>
        </w:tabs>
        <w:snapToGrid w:val="0"/>
        <w:spacing w:line="360" w:lineRule="auto"/>
        <w:rPr>
          <w:rFonts w:ascii="Times New Roman"/>
        </w:rPr>
      </w:pPr>
      <w:r>
        <w:rPr>
          <w:rFonts w:ascii="Times New Roman" w:hAnsi="Times New Roman" w:eastAsia="宋体" w:cs="Times New Roman"/>
        </w:rPr>
        <w:t>(2)由电离能的递变规律可知：同周期主族元素从左到右，元素的第一电离能呈增大趋势，但第</w:t>
      </w:r>
      <w:r>
        <w:rPr>
          <w:rFonts w:hint="eastAsia" w:ascii="Times New Roman" w:hAnsi="Times New Roman" w:eastAsia="宋体" w:cs="Times New Roman"/>
        </w:rPr>
        <w:t>Ⅱ</w:t>
      </w:r>
      <w:r>
        <w:rPr>
          <w:rFonts w:ascii="Times New Roman" w:hAnsi="Times New Roman" w:eastAsia="宋体" w:cs="Times New Roman"/>
        </w:rPr>
        <w:t>A族的Be、Mg的第一电离能较同周期第</w:t>
      </w:r>
      <w:r>
        <w:rPr>
          <w:rFonts w:hint="eastAsia" w:ascii="Times New Roman" w:hAnsi="Times New Roman" w:eastAsia="宋体" w:cs="Times New Roman"/>
        </w:rPr>
        <w:t>Ⅲ</w:t>
      </w:r>
      <w:r>
        <w:rPr>
          <w:rFonts w:ascii="Times New Roman" w:hAnsi="Times New Roman" w:eastAsia="宋体" w:cs="Times New Roman"/>
        </w:rPr>
        <w:t>A族的B、Al的第一电离能要大；第</w:t>
      </w:r>
      <w:r>
        <w:rPr>
          <w:rFonts w:hint="eastAsia" w:ascii="Times New Roman" w:hAnsi="Times New Roman" w:eastAsia="宋体" w:cs="Times New Roman"/>
        </w:rPr>
        <w:t>Ⅴ</w:t>
      </w:r>
      <w:r>
        <w:rPr>
          <w:rFonts w:ascii="Times New Roman" w:hAnsi="Times New Roman" w:eastAsia="宋体" w:cs="Times New Roman"/>
        </w:rPr>
        <w:t>A族的N、P、As的第一电离能较同周期第</w:t>
      </w:r>
      <w:r>
        <w:rPr>
          <w:rFonts w:hint="eastAsia" w:ascii="Times New Roman" w:hAnsi="Times New Roman" w:eastAsia="宋体" w:cs="Times New Roman"/>
        </w:rPr>
        <w:t>Ⅵ</w:t>
      </w:r>
      <w:r>
        <w:rPr>
          <w:rFonts w:ascii="Times New Roman" w:hAnsi="Times New Roman" w:eastAsia="宋体" w:cs="Times New Roman"/>
        </w:rPr>
        <w:t>A族的O、S、Se的第一电离能要大。这是由于第</w:t>
      </w:r>
      <w:r>
        <w:rPr>
          <w:rFonts w:hint="eastAsia" w:ascii="Times New Roman" w:hAnsi="Times New Roman" w:eastAsia="宋体" w:cs="Times New Roman"/>
        </w:rPr>
        <w:t>Ⅱ</w:t>
      </w:r>
      <w:r>
        <w:rPr>
          <w:rFonts w:ascii="Times New Roman" w:hAnsi="Times New Roman" w:eastAsia="宋体" w:cs="Times New Roman"/>
        </w:rPr>
        <w:t>A族元素的最外层电子排布为</w:t>
      </w: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r>
        <w:rPr>
          <w:rFonts w:ascii="Times New Roman" w:hAnsi="Times New Roman" w:eastAsia="宋体" w:cs="Times New Roman"/>
        </w:rPr>
        <w:t>，p轨道为全空状态，较稳定；而第</w:t>
      </w:r>
      <w:r>
        <w:rPr>
          <w:rFonts w:hint="eastAsia" w:ascii="Times New Roman" w:hAnsi="Times New Roman" w:eastAsia="宋体" w:cs="Times New Roman"/>
        </w:rPr>
        <w:t>Ⅴ</w:t>
      </w:r>
      <w:r>
        <w:rPr>
          <w:rFonts w:ascii="Times New Roman" w:hAnsi="Times New Roman" w:eastAsia="宋体" w:cs="Times New Roman"/>
        </w:rPr>
        <w:t>A族元素的最外层电子排布为</w:t>
      </w: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3</w:t>
      </w:r>
      <w:r>
        <w:rPr>
          <w:rFonts w:ascii="Times New Roman" w:hAnsi="Times New Roman" w:eastAsia="宋体" w:cs="Times New Roman"/>
        </w:rPr>
        <w:t>，p轨道为半充满状态，比第</w:t>
      </w:r>
      <w:r>
        <w:rPr>
          <w:rFonts w:hint="eastAsia" w:ascii="Times New Roman" w:hAnsi="Times New Roman" w:eastAsia="宋体" w:cs="Times New Roman"/>
        </w:rPr>
        <w:t>Ⅵ</w:t>
      </w:r>
      <w:r>
        <w:rPr>
          <w:rFonts w:ascii="Times New Roman" w:hAnsi="Times New Roman" w:eastAsia="宋体" w:cs="Times New Roman"/>
        </w:rPr>
        <w:t>A族的</w:t>
      </w:r>
      <w:r>
        <w:rPr>
          <w:rFonts w:ascii="Times New Roman" w:hAnsi="Times New Roman" w:eastAsia="宋体" w:cs="Times New Roman"/>
          <w:i/>
        </w:rPr>
        <w:t>n</w:t>
      </w:r>
      <w:r>
        <w:rPr>
          <w:rFonts w:ascii="Times New Roman" w:hAnsi="Times New Roman" w:eastAsia="宋体" w:cs="Times New Roman"/>
        </w:rPr>
        <w:t>s</w:t>
      </w:r>
      <w:r>
        <w:rPr>
          <w:rFonts w:ascii="Times New Roman" w:hAnsi="Times New Roman" w:eastAsia="宋体" w:cs="Times New Roman"/>
          <w:vertAlign w:val="superscript"/>
        </w:rPr>
        <w:t>2</w:t>
      </w:r>
      <w:r>
        <w:rPr>
          <w:rFonts w:ascii="Times New Roman" w:hAnsi="Times New Roman" w:eastAsia="宋体" w:cs="Times New Roman"/>
          <w:i/>
        </w:rPr>
        <w:t>n</w:t>
      </w:r>
      <w:r>
        <w:rPr>
          <w:rFonts w:ascii="Times New Roman" w:hAnsi="Times New Roman" w:eastAsia="宋体" w:cs="Times New Roman"/>
        </w:rPr>
        <w:t>p</w:t>
      </w:r>
      <w:r>
        <w:rPr>
          <w:rFonts w:ascii="Times New Roman" w:hAnsi="Times New Roman" w:eastAsia="宋体" w:cs="Times New Roman"/>
          <w:vertAlign w:val="superscript"/>
        </w:rPr>
        <w:t>4</w:t>
      </w:r>
      <w:r>
        <w:rPr>
          <w:rFonts w:ascii="Times New Roman" w:hAnsi="Times New Roman" w:eastAsia="宋体" w:cs="Times New Roman"/>
        </w:rPr>
        <w:t>状态稳定。</w:t>
      </w:r>
    </w:p>
    <w:p>
      <w:pPr>
        <w:tabs>
          <w:tab w:val="left" w:pos="3828"/>
        </w:tabs>
        <w:snapToGrid w:val="0"/>
        <w:spacing w:line="360" w:lineRule="auto"/>
        <w:jc w:val="center"/>
        <w:rPr>
          <w:rFonts w:ascii="Times New Roman" w:eastAsia="方正大黑_GBK"/>
          <w:sz w:val="31"/>
          <w:szCs w:val="31"/>
        </w:rPr>
      </w:pPr>
      <w:r>
        <w:rPr>
          <w:rFonts w:ascii="Times New Roman" w:hAnsi="Times New Roman" w:eastAsia="宋体" w:cs="Times New Roman"/>
          <w:sz w:val="31"/>
          <w:szCs w:val="31"/>
        </w:rPr>
        <w:t>三、电负性</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1.有关概念与意义</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(1)键合电子：元素相互化合时，原子中用于形成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的电子。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(2)电负性：用来描述不同元素的原子对键合电子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的大小。电负性越大的原子，对键合电子的吸引力</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(3)电负性大小的标准：以氟的电负性为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和锂的电负性为</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作为相对标准。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2.递变规律</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(1)一般来说，同周期元素从左到右，元素的电负性逐渐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，元素的非金属性逐渐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、金属性逐渐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(2)一般来说，同族元素从上到下，元素的电负性逐渐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，元素的金属性逐渐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、非金属性逐渐</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3.应用</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(1)判断元素的金属性和非金属性强弱</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①</w:t>
      </w:r>
      <w:r>
        <w:rPr>
          <w:rFonts w:ascii="Times New Roman" w:hAnsi="Times New Roman" w:eastAsia="宋体" w:cs="Times New Roman"/>
          <w:w w:val="104"/>
          <w:sz w:val="23"/>
          <w:szCs w:val="23"/>
        </w:rPr>
        <w:t>金属元素的电负性一般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1.8，非金属元素的电负性一般</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1.8，而位于非金属三角区边界的“类金属”(如锗、锑等)的电负性则在</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，它们既有金属性，又有非金属性。 </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②</w:t>
      </w:r>
      <w:r>
        <w:rPr>
          <w:rFonts w:ascii="Times New Roman" w:hAnsi="Times New Roman" w:eastAsia="宋体" w:cs="Times New Roman"/>
          <w:w w:val="104"/>
          <w:sz w:val="23"/>
          <w:szCs w:val="23"/>
        </w:rPr>
        <w:t>金属元素的电负性</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，金属元素越活泼；非金属元素的电负性</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，非金属元素越活泼。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(2)判断元素的化合价</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①</w:t>
      </w:r>
      <w:r>
        <w:rPr>
          <w:rFonts w:ascii="Times New Roman" w:hAnsi="Times New Roman" w:eastAsia="宋体" w:cs="Times New Roman"/>
          <w:w w:val="104"/>
          <w:sz w:val="23"/>
          <w:szCs w:val="23"/>
        </w:rPr>
        <w:t>电负性数值小的元素在化合物中吸引电子的能力</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，元素的化合价为正值。 </w:t>
      </w:r>
    </w:p>
    <w:p>
      <w:pPr>
        <w:tabs>
          <w:tab w:val="left" w:pos="3828"/>
        </w:tabs>
        <w:snapToGrid w:val="0"/>
        <w:spacing w:line="360" w:lineRule="auto"/>
        <w:rPr>
          <w:rFonts w:ascii="Times New Roman"/>
        </w:rPr>
      </w:pPr>
      <w:r>
        <w:rPr>
          <w:rFonts w:hint="eastAsia" w:ascii="Times New Roman" w:hAnsi="Times New Roman" w:eastAsia="宋体" w:cs="Times New Roman"/>
          <w:w w:val="104"/>
          <w:sz w:val="23"/>
          <w:szCs w:val="23"/>
        </w:rPr>
        <w:t>②</w:t>
      </w:r>
      <w:r>
        <w:rPr>
          <w:rFonts w:ascii="Times New Roman" w:hAnsi="Times New Roman" w:eastAsia="宋体" w:cs="Times New Roman"/>
          <w:w w:val="104"/>
          <w:sz w:val="23"/>
          <w:szCs w:val="23"/>
        </w:rPr>
        <w:t>电负性数值大的元素在化合物中吸引电子的能力</w:t>
      </w:r>
      <w:r>
        <w:rPr>
          <w:rFonts w:ascii="Times New Roman" w:hAnsi="Times New Roman" w:eastAsia="宋体" w:cs="Times New Roman"/>
          <w:w w:val="104"/>
          <w:sz w:val="23"/>
          <w:szCs w:val="23"/>
          <w:u w:val="single"/>
        </w:rPr>
        <w:t>　　</w:t>
      </w:r>
      <w:r>
        <w:rPr>
          <w:rFonts w:ascii="Times New Roman" w:hAnsi="Times New Roman" w:eastAsia="宋体" w:cs="Times New Roman"/>
          <w:w w:val="104"/>
          <w:sz w:val="23"/>
          <w:szCs w:val="23"/>
        </w:rPr>
        <w:t>，元素的化合价为负值。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(3)判断化合物的类型</w:t>
      </w:r>
    </w:p>
    <w:p>
      <w:pPr>
        <w:tabs>
          <w:tab w:val="left" w:pos="3828"/>
        </w:tabs>
        <w:snapToGrid w:val="0"/>
        <w:spacing w:line="360" w:lineRule="auto"/>
        <w:jc w:val="center"/>
        <w:rPr>
          <w:rFonts w:ascii="Times New Roman"/>
          <w:w w:val="104"/>
          <w:sz w:val="23"/>
          <w:szCs w:val="23"/>
        </w:rPr>
      </w:pPr>
      <w:r>
        <w:rPr>
          <w:rFonts w:ascii="Times New Roman"/>
        </w:rPr>
        <w:drawing>
          <wp:inline distT="0" distB="0" distL="0" distR="0">
            <wp:extent cx="2807970" cy="683895"/>
            <wp:effectExtent l="0" t="0" r="0" b="0"/>
            <wp:docPr id="112" name="image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00.jpeg"/>
                    <pic:cNvPicPr>
                      <a:picLocks noChangeAspect="1"/>
                    </pic:cNvPicPr>
                  </pic:nvPicPr>
                  <pic:blipFill>
                    <a:blip r:embed="rId7"/>
                    <a:stretch>
                      <a:fillRect/>
                    </a:stretch>
                  </pic:blipFill>
                  <pic:spPr>
                    <a:xfrm>
                      <a:off x="0" y="0"/>
                      <a:ext cx="2808000" cy="684000"/>
                    </a:xfrm>
                    <a:prstGeom prst="rect">
                      <a:avLst/>
                    </a:prstGeom>
                  </pic:spPr>
                </pic:pic>
              </a:graphicData>
            </a:graphic>
          </wp:inline>
        </w:drawing>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如H的电负性为2.1，Cl的电负性为3.0，Cl的电负性与H的电负性之差为3.0-2.1=0.9&lt;1.7，故HCl为共价化合物；如Al的电负性为1.5，Cl的电负性与Al的电负性之差为3.0-1.5=1.5&lt;1.7，因此AlCl</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为共价化合物；同理，BeCl</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也是共价化合物。</w:t>
      </w:r>
    </w:p>
    <w:p>
      <w:pPr>
        <w:tabs>
          <w:tab w:val="left" w:pos="3828"/>
        </w:tabs>
        <w:snapToGrid w:val="0"/>
        <w:spacing w:line="360" w:lineRule="auto"/>
        <w:rPr>
          <w:rFonts w:ascii="Times New Roman"/>
        </w:rPr>
      </w:pPr>
      <w:r>
        <w:rPr>
          <w:rFonts w:ascii="Times New Roman" w:hAnsi="Times New Roman" w:eastAsia="宋体" w:cs="Times New Roman"/>
        </w:rPr>
        <w:t>特别提醒　</w:t>
      </w:r>
      <w:r>
        <w:rPr>
          <w:rFonts w:hint="eastAsia" w:ascii="Times New Roman" w:hAnsi="Times New Roman" w:eastAsia="宋体" w:cs="Times New Roman"/>
        </w:rPr>
        <w:t>①</w:t>
      </w:r>
      <w:r>
        <w:rPr>
          <w:rFonts w:ascii="Times New Roman" w:hAnsi="Times New Roman" w:eastAsia="宋体" w:cs="Times New Roman"/>
        </w:rPr>
        <w:t>电负性之差大于1.7的元素不一定都形成离子化合物，如F的电负性与H的电负性之差为1.9，但HF为共价化合物。</w:t>
      </w:r>
    </w:p>
    <w:p>
      <w:pPr>
        <w:tabs>
          <w:tab w:val="left" w:pos="3828"/>
        </w:tabs>
        <w:snapToGrid w:val="0"/>
        <w:spacing w:line="360" w:lineRule="auto"/>
        <w:rPr>
          <w:rFonts w:ascii="Times New Roman"/>
        </w:rPr>
      </w:pPr>
      <w:r>
        <w:rPr>
          <w:rFonts w:hint="eastAsia" w:ascii="Times New Roman" w:hAnsi="Times New Roman" w:eastAsia="宋体" w:cs="Times New Roman"/>
        </w:rPr>
        <w:t>②</w:t>
      </w:r>
      <w:r>
        <w:rPr>
          <w:rFonts w:ascii="Times New Roman" w:hAnsi="Times New Roman" w:eastAsia="宋体" w:cs="Times New Roman"/>
        </w:rPr>
        <w:t>电负性之差小于1.7的元素不一定形成共价化合物，如Na的电负性为0.9，与H的电负性之差为1.2，但NaH中的化学键是离子键。</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[深度思考]</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1.按照电负性的递变规律推测：元素周期表中电负性最大的元素和电负性最小的元素位于周期表中的哪个位置？</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2.电负性越大的元素，非金属性越强吗？第一电离能越大吗？</w:t>
      </w:r>
    </w:p>
    <w:p>
      <w:pPr>
        <w:tabs>
          <w:tab w:val="left" w:pos="3402"/>
        </w:tabs>
        <w:snapToGrid w:val="0"/>
        <w:spacing w:line="360" w:lineRule="auto"/>
        <w:rPr>
          <w:rFonts w:hint="default" w:ascii="Times New Roman" w:eastAsiaTheme="minorEastAsia"/>
          <w:lang w:val="en-US" w:eastAsia="zh-CN"/>
        </w:rPr>
      </w:pPr>
      <w:r>
        <w:rPr>
          <w:rFonts w:hint="eastAsia" w:ascii="Times New Roman"/>
          <w:lang w:val="en-US" w:eastAsia="zh-CN"/>
        </w:rPr>
        <w:t>[应用体验]</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1.正误判断</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(1)元素电负性的大小反映了元素原子对键合电子吸引力的大小</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(2)元素的电负性越大，则元素的非金属性越强</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(3)同一周期电负性最大的元素为稀有气体元素</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2.下列说法不正确的是</w:t>
      </w:r>
      <w:r>
        <w:ptab w:relativeTo="margin" w:alignment="right" w:leader="none"/>
      </w:r>
      <w:r>
        <w:rPr>
          <w:rFonts w:ascii="Times New Roman" w:hAnsi="Times New Roman" w:eastAsia="宋体" w:cs="Times New Roman"/>
          <w:w w:val="104"/>
          <w:sz w:val="23"/>
          <w:szCs w:val="23"/>
        </w:rPr>
        <w:t>(　　)</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A.第</w:t>
      </w:r>
      <w:r>
        <w:rPr>
          <w:rFonts w:hint="eastAsia" w:ascii="Times New Roman" w:hAnsi="Times New Roman" w:eastAsia="宋体" w:cs="Times New Roman"/>
          <w:w w:val="104"/>
          <w:sz w:val="23"/>
          <w:szCs w:val="23"/>
        </w:rPr>
        <w:t>Ⅰ</w:t>
      </w:r>
      <w:r>
        <w:rPr>
          <w:rFonts w:ascii="Times New Roman" w:hAnsi="Times New Roman" w:eastAsia="宋体" w:cs="Times New Roman"/>
          <w:w w:val="104"/>
          <w:sz w:val="23"/>
          <w:szCs w:val="23"/>
        </w:rPr>
        <w:t>A族元素的电负性从上到下逐渐减小，而第</w:t>
      </w:r>
      <w:r>
        <w:rPr>
          <w:rFonts w:hint="eastAsia" w:ascii="Times New Roman" w:hAnsi="Times New Roman" w:eastAsia="宋体" w:cs="Times New Roman"/>
          <w:w w:val="104"/>
          <w:sz w:val="23"/>
          <w:szCs w:val="23"/>
        </w:rPr>
        <w:t>Ⅶ</w:t>
      </w:r>
      <w:r>
        <w:rPr>
          <w:rFonts w:ascii="Times New Roman" w:hAnsi="Times New Roman" w:eastAsia="宋体" w:cs="Times New Roman"/>
          <w:w w:val="104"/>
          <w:sz w:val="23"/>
          <w:szCs w:val="23"/>
        </w:rPr>
        <w:t>A族元素的电负性从上到下逐渐增大</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B.电负性的大小可以作为衡量元素的金属性和非金属性强弱的尺度</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C.元素的电负性越大，表示其原子在化合物中吸引电子的能力越强</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D.NaH的存在能支持可将氢元素放在第</w:t>
      </w:r>
      <w:r>
        <w:rPr>
          <w:rFonts w:hint="eastAsia" w:ascii="Times New Roman" w:hAnsi="Times New Roman" w:eastAsia="宋体" w:cs="Times New Roman"/>
          <w:w w:val="104"/>
          <w:sz w:val="23"/>
          <w:szCs w:val="23"/>
        </w:rPr>
        <w:t>Ⅶ</w:t>
      </w:r>
      <w:r>
        <w:rPr>
          <w:rFonts w:ascii="Times New Roman" w:hAnsi="Times New Roman" w:eastAsia="宋体" w:cs="Times New Roman"/>
          <w:w w:val="104"/>
          <w:sz w:val="23"/>
          <w:szCs w:val="23"/>
        </w:rPr>
        <w:t>A族的观点</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3.一般认为，如果两个成键元素的电负性差值大于1.7，它们通常形成离子键；如果两个成键元素的电负性差值小于1.7，它们通常形成共价键。查阅下列元素的电负性数值，判断下列化合物：</w:t>
      </w:r>
      <w:r>
        <w:rPr>
          <w:rFonts w:hint="eastAsia" w:ascii="Times New Roman" w:hAnsi="Times New Roman" w:eastAsia="宋体" w:cs="Times New Roman"/>
          <w:w w:val="104"/>
          <w:sz w:val="23"/>
          <w:szCs w:val="23"/>
        </w:rPr>
        <w:t>①</w:t>
      </w:r>
      <w:r>
        <w:rPr>
          <w:rFonts w:ascii="Times New Roman" w:hAnsi="Times New Roman" w:eastAsia="宋体" w:cs="Times New Roman"/>
          <w:w w:val="104"/>
          <w:sz w:val="23"/>
          <w:szCs w:val="23"/>
        </w:rPr>
        <w:t>NaF　</w:t>
      </w:r>
      <w:r>
        <w:rPr>
          <w:rFonts w:hint="eastAsia" w:ascii="Times New Roman" w:hAnsi="Times New Roman" w:eastAsia="宋体" w:cs="Times New Roman"/>
          <w:w w:val="104"/>
          <w:sz w:val="23"/>
          <w:szCs w:val="23"/>
        </w:rPr>
        <w:t>②</w:t>
      </w:r>
      <w:r>
        <w:rPr>
          <w:rFonts w:ascii="Times New Roman" w:hAnsi="Times New Roman" w:eastAsia="宋体" w:cs="Times New Roman"/>
          <w:w w:val="104"/>
          <w:sz w:val="23"/>
          <w:szCs w:val="23"/>
        </w:rPr>
        <w:t>AlCl</w:t>
      </w:r>
      <w:r>
        <w:rPr>
          <w:rFonts w:ascii="Times New Roman" w:hAnsi="Times New Roman" w:eastAsia="宋体" w:cs="Times New Roman"/>
          <w:w w:val="104"/>
          <w:sz w:val="23"/>
          <w:szCs w:val="23"/>
          <w:vertAlign w:val="subscript"/>
        </w:rPr>
        <w:t>3</w:t>
      </w:r>
      <w:r>
        <w:rPr>
          <w:rFonts w:ascii="Times New Roman" w:hAnsi="Times New Roman" w:eastAsia="宋体" w:cs="Times New Roman"/>
          <w:w w:val="104"/>
          <w:sz w:val="23"/>
          <w:szCs w:val="23"/>
        </w:rPr>
        <w:t>　</w:t>
      </w:r>
      <w:r>
        <w:rPr>
          <w:rFonts w:hint="eastAsia" w:ascii="Times New Roman" w:hAnsi="Times New Roman" w:eastAsia="宋体" w:cs="Times New Roman"/>
          <w:w w:val="104"/>
          <w:sz w:val="23"/>
          <w:szCs w:val="23"/>
        </w:rPr>
        <w:t>③</w:t>
      </w:r>
      <w:r>
        <w:rPr>
          <w:rFonts w:ascii="Times New Roman" w:hAnsi="Times New Roman" w:eastAsia="宋体" w:cs="Times New Roman"/>
          <w:w w:val="104"/>
          <w:sz w:val="23"/>
          <w:szCs w:val="23"/>
        </w:rPr>
        <w:t>NO　</w:t>
      </w:r>
      <w:r>
        <w:rPr>
          <w:rFonts w:hint="eastAsia" w:ascii="Times New Roman" w:hAnsi="Times New Roman" w:eastAsia="宋体" w:cs="Times New Roman"/>
          <w:w w:val="104"/>
          <w:sz w:val="23"/>
          <w:szCs w:val="23"/>
        </w:rPr>
        <w:t>④</w:t>
      </w:r>
      <w:r>
        <w:rPr>
          <w:rFonts w:ascii="Times New Roman" w:hAnsi="Times New Roman" w:eastAsia="宋体" w:cs="Times New Roman"/>
          <w:w w:val="104"/>
          <w:sz w:val="23"/>
          <w:szCs w:val="23"/>
        </w:rPr>
        <w:t>MgO　</w:t>
      </w:r>
      <w:r>
        <w:rPr>
          <w:rFonts w:hint="eastAsia" w:ascii="Times New Roman" w:hAnsi="Times New Roman" w:eastAsia="宋体" w:cs="Times New Roman"/>
          <w:w w:val="104"/>
          <w:sz w:val="23"/>
          <w:szCs w:val="23"/>
        </w:rPr>
        <w:t>⑤</w:t>
      </w:r>
      <w:r>
        <w:rPr>
          <w:rFonts w:ascii="Times New Roman" w:hAnsi="Times New Roman" w:eastAsia="宋体" w:cs="Times New Roman"/>
          <w:w w:val="104"/>
          <w:sz w:val="23"/>
          <w:szCs w:val="23"/>
        </w:rPr>
        <w:t>BeCl</w:t>
      </w:r>
      <w:r>
        <w:rPr>
          <w:rFonts w:ascii="Times New Roman" w:hAnsi="Times New Roman" w:eastAsia="宋体" w:cs="Times New Roman"/>
          <w:w w:val="104"/>
          <w:sz w:val="23"/>
          <w:szCs w:val="23"/>
          <w:vertAlign w:val="subscript"/>
        </w:rPr>
        <w:t>2</w:t>
      </w:r>
      <w:r>
        <w:rPr>
          <w:rFonts w:ascii="Times New Roman" w:hAnsi="Times New Roman" w:eastAsia="宋体" w:cs="Times New Roman"/>
          <w:w w:val="104"/>
          <w:sz w:val="23"/>
          <w:szCs w:val="23"/>
        </w:rPr>
        <w:t>　</w:t>
      </w:r>
      <w:r>
        <w:rPr>
          <w:rFonts w:hint="eastAsia" w:ascii="Times New Roman" w:hAnsi="Times New Roman" w:eastAsia="宋体" w:cs="Times New Roman"/>
          <w:w w:val="104"/>
          <w:sz w:val="23"/>
          <w:szCs w:val="23"/>
        </w:rPr>
        <w:t>⑥</w:t>
      </w:r>
      <w:r>
        <w:rPr>
          <w:rFonts w:ascii="Times New Roman" w:hAnsi="Times New Roman" w:eastAsia="宋体" w:cs="Times New Roman"/>
          <w:w w:val="104"/>
          <w:sz w:val="23"/>
          <w:szCs w:val="23"/>
        </w:rPr>
        <w:t>CO</w:t>
      </w:r>
      <w:r>
        <w:rPr>
          <w:rFonts w:ascii="Times New Roman" w:hAnsi="Times New Roman" w:eastAsia="宋体" w:cs="Times New Roman"/>
          <w:w w:val="104"/>
          <w:sz w:val="23"/>
          <w:szCs w:val="23"/>
          <w:vertAlign w:val="subscript"/>
        </w:rPr>
        <w:t>2</w:t>
      </w:r>
    </w:p>
    <w:p>
      <w:pPr>
        <w:tabs>
          <w:tab w:val="left" w:pos="3828"/>
        </w:tabs>
        <w:snapToGrid w:val="0"/>
        <w:spacing w:line="360" w:lineRule="auto"/>
        <w:rPr>
          <w:rFonts w:ascii="Times New Roman"/>
          <w:w w:val="104"/>
          <w:sz w:val="23"/>
          <w:szCs w:val="23"/>
        </w:rPr>
      </w:pPr>
      <w:r>
        <w:rPr>
          <w:rFonts w:ascii="Times New Roman" w:hAnsi="Times New Roman" w:eastAsia="宋体" w:cs="Times New Roman"/>
          <w:w w:val="104"/>
          <w:sz w:val="23"/>
          <w:szCs w:val="23"/>
        </w:rPr>
        <w:t>(1)属于共价化合物的是</w:t>
      </w:r>
      <w:r>
        <w:rPr>
          <w:rFonts w:hint="eastAsia" w:ascii="Times New Roman" w:hAnsi="Times New Roman" w:eastAsia="宋体" w:cs="Times New Roman"/>
          <w:w w:val="104"/>
          <w:sz w:val="23"/>
          <w:szCs w:val="23"/>
        </w:rPr>
        <w:t>______________</w:t>
      </w:r>
      <w:r>
        <w:rPr>
          <w:rFonts w:ascii="Times New Roman" w:hAnsi="Times New Roman" w:eastAsia="宋体" w:cs="Times New Roman"/>
          <w:w w:val="104"/>
          <w:sz w:val="23"/>
          <w:szCs w:val="23"/>
        </w:rPr>
        <w:t>(填序号，下同)。</w:t>
      </w:r>
    </w:p>
    <w:p>
      <w:pPr>
        <w:tabs>
          <w:tab w:val="left" w:pos="3828"/>
        </w:tabs>
        <w:snapToGrid w:val="0"/>
        <w:spacing w:line="360" w:lineRule="auto"/>
        <w:rPr>
          <w:rFonts w:ascii="Times New Roman"/>
        </w:rPr>
      </w:pPr>
      <w:r>
        <w:rPr>
          <w:rFonts w:ascii="Times New Roman" w:hAnsi="Times New Roman" w:eastAsia="宋体" w:cs="Times New Roman"/>
          <w:w w:val="104"/>
          <w:sz w:val="23"/>
          <w:szCs w:val="23"/>
        </w:rPr>
        <w:t>(2)属于离子化合物的是</w:t>
      </w:r>
      <w:r>
        <w:rPr>
          <w:rFonts w:hint="eastAsia" w:ascii="Times New Roman" w:hAnsi="Times New Roman" w:eastAsia="宋体" w:cs="Times New Roman"/>
          <w:w w:val="104"/>
          <w:sz w:val="23"/>
          <w:szCs w:val="23"/>
        </w:rPr>
        <w:t>______________</w:t>
      </w:r>
      <w:r>
        <w:rPr>
          <w:rFonts w:ascii="Times New Roman" w:hAnsi="Times New Roman" w:eastAsia="宋体" w:cs="Times New Roman"/>
          <w:w w:val="104"/>
          <w:sz w:val="23"/>
          <w:szCs w:val="23"/>
        </w:rPr>
        <w:t>。</w:t>
      </w:r>
    </w:p>
    <w:tbl>
      <w:tblPr>
        <w:tblStyle w:val="9"/>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108" w:type="dxa"/>
          <w:bottom w:w="0" w:type="dxa"/>
          <w:right w:w="108" w:type="dxa"/>
        </w:tblCellMar>
      </w:tblPr>
      <w:tblGrid>
        <w:gridCol w:w="1056"/>
        <w:gridCol w:w="507"/>
        <w:gridCol w:w="507"/>
        <w:gridCol w:w="507"/>
        <w:gridCol w:w="507"/>
        <w:gridCol w:w="507"/>
        <w:gridCol w:w="507"/>
        <w:gridCol w:w="507"/>
        <w:gridCol w:w="507"/>
        <w:gridCol w:w="507"/>
        <w:gridCol w:w="507"/>
        <w:gridCol w:w="507"/>
        <w:gridCol w:w="507"/>
        <w:gridCol w:w="507"/>
        <w:gridCol w:w="67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62" w:hRule="atLeast"/>
          <w:jc w:val="center"/>
        </w:trPr>
        <w:tc>
          <w:tcPr>
            <w:tcW w:w="1056"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元素</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Al</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B</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Be</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C</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Cl</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F</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Li</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Mg</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N</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Na</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O</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P</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S</w:t>
            </w:r>
          </w:p>
        </w:tc>
        <w:tc>
          <w:tcPr>
            <w:tcW w:w="67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Si</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92" w:hRule="atLeast"/>
          <w:jc w:val="center"/>
        </w:trPr>
        <w:tc>
          <w:tcPr>
            <w:tcW w:w="1056"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电负性</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1.5</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2.0</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1.5</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2.5</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3.0</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4.0</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1.0</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1.2</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3.0</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0.9</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3.5</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2.1</w:t>
            </w:r>
          </w:p>
        </w:tc>
        <w:tc>
          <w:tcPr>
            <w:tcW w:w="50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2.5</w:t>
            </w:r>
          </w:p>
        </w:tc>
        <w:tc>
          <w:tcPr>
            <w:tcW w:w="67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828"/>
              </w:tabs>
              <w:snapToGrid w:val="0"/>
              <w:spacing w:line="360" w:lineRule="auto"/>
              <w:jc w:val="center"/>
              <w:rPr>
                <w:rFonts w:ascii="Times New Roman"/>
              </w:rPr>
            </w:pPr>
            <w:r>
              <w:rPr>
                <w:rFonts w:ascii="Times New Roman" w:hAnsi="Times New Roman" w:eastAsia="宋体" w:cs="Times New Roman"/>
              </w:rPr>
              <w:t>1.8</w:t>
            </w:r>
          </w:p>
        </w:tc>
      </w:tr>
    </w:tbl>
    <w:p>
      <w:pPr>
        <w:rPr>
          <w:rFonts w:ascii="Times New Roman"/>
        </w:rPr>
      </w:pPr>
    </w:p>
    <w:sectPr>
      <w:footnotePr>
        <w:numFmt w:val="decimalEnclosedCircleChinese"/>
      </w:footnotePr>
      <w:pgSz w:w="11906" w:h="16838"/>
      <w:pgMar w:top="1440" w:right="1083" w:bottom="1440" w:left="108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804030504040204"/>
    <w:charset w:val="00"/>
    <w:family w:val="swiss"/>
    <w:pitch w:val="default"/>
    <w:sig w:usb0="E1002AFF" w:usb1="C000605B" w:usb2="00000029" w:usb3="00000000" w:csb0="200101FF" w:csb1="20280000"/>
  </w:font>
  <w:font w:name="方正书宋_GBK">
    <w:panose1 w:val="02000000000000000000"/>
    <w:charset w:val="86"/>
    <w:family w:val="script"/>
    <w:pitch w:val="default"/>
    <w:sig w:usb0="A00002BF" w:usb1="38CF7CFA" w:usb2="00082016" w:usb3="00000000" w:csb0="00040001"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准圆_GBK">
    <w:altName w:val="苹方-简"/>
    <w:panose1 w:val="03000509000000000000"/>
    <w:charset w:val="86"/>
    <w:family w:val="script"/>
    <w:pitch w:val="default"/>
    <w:sig w:usb0="00000000" w:usb1="00000000" w:usb2="00000000" w:usb3="00000000" w:csb0="00040000" w:csb1="00000000"/>
  </w:font>
  <w:font w:name="方正大黑_GBK">
    <w:altName w:val="汉仪中黑KW"/>
    <w:panose1 w:val="03000509000000000000"/>
    <w:charset w:val="86"/>
    <w:family w:val="script"/>
    <w:pitch w:val="default"/>
    <w:sig w:usb0="00000000" w:usb1="00000000" w:usb2="00000010" w:usb3="00000000" w:csb0="00040000" w:csb1="00000000"/>
  </w:font>
  <w:font w:name="Cambria Math">
    <w:altName w:val="Kingsoft Math"/>
    <w:panose1 w:val="02040503050406030204"/>
    <w:charset w:val="00"/>
    <w:family w:val="roman"/>
    <w:pitch w:val="default"/>
    <w:sig w:usb0="00000000" w:usb1="00000000" w:usb2="02000000" w:usb3="00000000" w:csb0="2000019F" w:csb1="00000000"/>
  </w:font>
  <w:font w:name="方正黑体_GBK">
    <w:altName w:val="汉仪中黑KW"/>
    <w:panose1 w:val="02000000000000000000"/>
    <w:charset w:val="86"/>
    <w:family w:val="script"/>
    <w:pitch w:val="default"/>
    <w:sig w:usb0="00000000" w:usb1="00000000"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PingFang SC">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MjkzYmE4MzMyMDcyNjEwMDQ3YmNkMzI1ZDJiOTYifQ=="/>
    <w:docVar w:name="KSO_WPS_MARK_KEY" w:val="e2913deb-0094-4d15-b086-f2059ae8b7ec"/>
  </w:docVars>
  <w:rsids>
    <w:rsidRoot w:val="00FA57C3"/>
    <w:rsid w:val="00001EE9"/>
    <w:rsid w:val="000120E3"/>
    <w:rsid w:val="00043C97"/>
    <w:rsid w:val="00051636"/>
    <w:rsid w:val="0006373F"/>
    <w:rsid w:val="00075369"/>
    <w:rsid w:val="00081225"/>
    <w:rsid w:val="000B623B"/>
    <w:rsid w:val="001302C8"/>
    <w:rsid w:val="0013235C"/>
    <w:rsid w:val="00152ED9"/>
    <w:rsid w:val="00171766"/>
    <w:rsid w:val="001C5ADF"/>
    <w:rsid w:val="002068E6"/>
    <w:rsid w:val="00233E6D"/>
    <w:rsid w:val="00292EDB"/>
    <w:rsid w:val="002C576E"/>
    <w:rsid w:val="002D173E"/>
    <w:rsid w:val="00326389"/>
    <w:rsid w:val="00327CDE"/>
    <w:rsid w:val="00391EE7"/>
    <w:rsid w:val="003A1D7C"/>
    <w:rsid w:val="003B1CD3"/>
    <w:rsid w:val="003D5A38"/>
    <w:rsid w:val="00405CA5"/>
    <w:rsid w:val="00451408"/>
    <w:rsid w:val="00476361"/>
    <w:rsid w:val="00486645"/>
    <w:rsid w:val="0049669A"/>
    <w:rsid w:val="004A2F49"/>
    <w:rsid w:val="004A3019"/>
    <w:rsid w:val="00510EA2"/>
    <w:rsid w:val="005156A7"/>
    <w:rsid w:val="005243A2"/>
    <w:rsid w:val="00535272"/>
    <w:rsid w:val="005518C6"/>
    <w:rsid w:val="0058578F"/>
    <w:rsid w:val="005A3B54"/>
    <w:rsid w:val="005B0CFB"/>
    <w:rsid w:val="005F127C"/>
    <w:rsid w:val="006263CF"/>
    <w:rsid w:val="006C537E"/>
    <w:rsid w:val="006E28A5"/>
    <w:rsid w:val="00720332"/>
    <w:rsid w:val="00732A4E"/>
    <w:rsid w:val="00736F99"/>
    <w:rsid w:val="007813DD"/>
    <w:rsid w:val="0081363D"/>
    <w:rsid w:val="00843D10"/>
    <w:rsid w:val="008B3DDC"/>
    <w:rsid w:val="0091526C"/>
    <w:rsid w:val="009217BC"/>
    <w:rsid w:val="00934479"/>
    <w:rsid w:val="00960619"/>
    <w:rsid w:val="00971BFB"/>
    <w:rsid w:val="009A6634"/>
    <w:rsid w:val="009D7281"/>
    <w:rsid w:val="009F4C47"/>
    <w:rsid w:val="00A33F40"/>
    <w:rsid w:val="00AB315B"/>
    <w:rsid w:val="00AC46DA"/>
    <w:rsid w:val="00B308B8"/>
    <w:rsid w:val="00B82B68"/>
    <w:rsid w:val="00BA1E36"/>
    <w:rsid w:val="00BF17CB"/>
    <w:rsid w:val="00C44E2D"/>
    <w:rsid w:val="00C47140"/>
    <w:rsid w:val="00C6302E"/>
    <w:rsid w:val="00C82289"/>
    <w:rsid w:val="00C93E3A"/>
    <w:rsid w:val="00C97002"/>
    <w:rsid w:val="00CB1D13"/>
    <w:rsid w:val="00D01BC0"/>
    <w:rsid w:val="00D3685C"/>
    <w:rsid w:val="00D81827"/>
    <w:rsid w:val="00D940E1"/>
    <w:rsid w:val="00E05032"/>
    <w:rsid w:val="00E10343"/>
    <w:rsid w:val="00E336E3"/>
    <w:rsid w:val="00E5427A"/>
    <w:rsid w:val="00E629AC"/>
    <w:rsid w:val="00E93DC0"/>
    <w:rsid w:val="00EB4538"/>
    <w:rsid w:val="00F043AD"/>
    <w:rsid w:val="00F2499B"/>
    <w:rsid w:val="00F81A0E"/>
    <w:rsid w:val="00FA3086"/>
    <w:rsid w:val="00FA57C3"/>
    <w:rsid w:val="00FC4922"/>
    <w:rsid w:val="3E9F9A73"/>
    <w:rsid w:val="7D844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Ansi="Times New Roman" w:asciiTheme="minorHAnsi" w:eastAsiaTheme="minorEastAsia" w:cstheme="minorBidi"/>
      <w:sz w:val="22"/>
      <w:szCs w:val="22"/>
      <w:lang w:val="en-US" w:eastAsia="zh-CN" w:bidi="ar-SA"/>
    </w:rPr>
  </w:style>
  <w:style w:type="paragraph" w:styleId="2">
    <w:name w:val="heading 2"/>
    <w:basedOn w:val="1"/>
    <w:next w:val="1"/>
    <w:link w:val="27"/>
    <w:unhideWhenUsed/>
    <w:qFormat/>
    <w:uiPriority w:val="9"/>
    <w:pPr>
      <w:keepNext/>
      <w:keepLines/>
      <w:spacing w:before="260" w:after="260" w:line="416" w:lineRule="auto"/>
      <w:jc w:val="center"/>
      <w:outlineLvl w:val="1"/>
    </w:pPr>
    <w:rPr>
      <w:rFonts w:ascii="Times New Roman" w:eastAsia="黑体" w:cstheme="majorBidi"/>
      <w:b/>
      <w:bCs/>
      <w:sz w:val="32"/>
      <w:szCs w:val="32"/>
    </w:rPr>
  </w:style>
  <w:style w:type="paragraph" w:styleId="3">
    <w:name w:val="heading 3"/>
    <w:basedOn w:val="1"/>
    <w:next w:val="1"/>
    <w:link w:val="28"/>
    <w:unhideWhenUsed/>
    <w:qFormat/>
    <w:uiPriority w:val="9"/>
    <w:pPr>
      <w:keepNext/>
      <w:keepLines/>
      <w:spacing w:before="260" w:after="260" w:line="416" w:lineRule="auto"/>
      <w:jc w:val="center"/>
      <w:outlineLvl w:val="2"/>
    </w:pPr>
    <w:rPr>
      <w:b/>
      <w:bCs/>
      <w:sz w:val="32"/>
      <w:szCs w:val="32"/>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5"/>
    <w:link w:val="17"/>
    <w:semiHidden/>
    <w:unhideWhenUsed/>
    <w:qFormat/>
    <w:uiPriority w:val="99"/>
    <w:rPr>
      <w:rFonts w:ascii="Tahoma" w:hAnsi="Tahoma" w:cs="Tahoma"/>
      <w:sz w:val="16"/>
      <w:szCs w:val="16"/>
    </w:rPr>
  </w:style>
  <w:style w:type="paragraph" w:customStyle="1" w:styleId="5">
    <w:name w:val="a3"/>
    <w:qFormat/>
    <w:uiPriority w:val="0"/>
    <w:rPr>
      <w:rFonts w:hAnsi="Times New Roman" w:asciiTheme="minorHAnsi" w:eastAsiaTheme="minorEastAsia" w:cstheme="minorBidi"/>
      <w:sz w:val="22"/>
      <w:szCs w:val="22"/>
      <w:lang w:val="en-US" w:eastAsia="zh-CN" w:bidi="ar-SA"/>
    </w:rPr>
  </w:style>
  <w:style w:type="paragraph" w:styleId="6">
    <w:name w:val="footer"/>
    <w:basedOn w:val="5"/>
    <w:link w:val="15"/>
    <w:unhideWhenUsed/>
    <w:qFormat/>
    <w:uiPriority w:val="99"/>
    <w:pPr>
      <w:tabs>
        <w:tab w:val="center" w:pos="4513"/>
        <w:tab w:val="right" w:pos="9026"/>
      </w:tabs>
    </w:pPr>
  </w:style>
  <w:style w:type="paragraph" w:styleId="7">
    <w:name w:val="header"/>
    <w:basedOn w:val="5"/>
    <w:link w:val="14"/>
    <w:unhideWhenUsed/>
    <w:qFormat/>
    <w:uiPriority w:val="99"/>
    <w:pPr>
      <w:tabs>
        <w:tab w:val="center" w:pos="4513"/>
        <w:tab w:val="right" w:pos="9026"/>
      </w:tabs>
    </w:pPr>
  </w:style>
  <w:style w:type="paragraph" w:styleId="8">
    <w:name w:val="footnote text"/>
    <w:basedOn w:val="5"/>
    <w:link w:val="22"/>
    <w:semiHidden/>
    <w:unhideWhenUsed/>
    <w:qFormat/>
    <w:uiPriority w:val="99"/>
    <w:pPr>
      <w:snapToGrid w:val="0"/>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1">
    <w:name w:val="Light Shading Accent 3"/>
    <w:basedOn w:val="9"/>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3">
    <w:name w:val="footnote reference"/>
    <w:basedOn w:val="12"/>
    <w:semiHidden/>
    <w:unhideWhenUsed/>
    <w:qFormat/>
    <w:uiPriority w:val="99"/>
    <w:rPr>
      <w:vertAlign w:val="superscript"/>
    </w:rPr>
  </w:style>
  <w:style w:type="character" w:customStyle="1" w:styleId="14">
    <w:name w:val="页眉 Char"/>
    <w:basedOn w:val="12"/>
    <w:link w:val="7"/>
    <w:qFormat/>
    <w:uiPriority w:val="99"/>
  </w:style>
  <w:style w:type="character" w:customStyle="1" w:styleId="15">
    <w:name w:val="页脚 Char"/>
    <w:basedOn w:val="12"/>
    <w:link w:val="6"/>
    <w:qFormat/>
    <w:uiPriority w:val="99"/>
  </w:style>
  <w:style w:type="paragraph" w:styleId="16">
    <w:name w:val="List Paragraph"/>
    <w:basedOn w:val="5"/>
    <w:qFormat/>
    <w:uiPriority w:val="34"/>
    <w:pPr>
      <w:ind w:left="720"/>
      <w:contextualSpacing/>
    </w:pPr>
  </w:style>
  <w:style w:type="character" w:customStyle="1" w:styleId="17">
    <w:name w:val="批注框文本 Char"/>
    <w:basedOn w:val="12"/>
    <w:link w:val="4"/>
    <w:semiHidden/>
    <w:qFormat/>
    <w:uiPriority w:val="99"/>
    <w:rPr>
      <w:rFonts w:ascii="Tahoma" w:hAnsi="Tahoma" w:cs="Tahoma"/>
      <w:sz w:val="16"/>
      <w:szCs w:val="16"/>
    </w:rPr>
  </w:style>
  <w:style w:type="paragraph" w:styleId="18">
    <w:name w:val="Quote"/>
    <w:basedOn w:val="5"/>
    <w:next w:val="5"/>
    <w:link w:val="19"/>
    <w:qFormat/>
    <w:uiPriority w:val="29"/>
    <w:rPr>
      <w:i/>
      <w:iCs/>
      <w:color w:val="000000" w:themeColor="text1"/>
    </w:rPr>
  </w:style>
  <w:style w:type="character" w:customStyle="1" w:styleId="19">
    <w:name w:val="引用 Char"/>
    <w:basedOn w:val="12"/>
    <w:link w:val="18"/>
    <w:qFormat/>
    <w:uiPriority w:val="29"/>
    <w:rPr>
      <w:i/>
      <w:iCs/>
      <w:color w:val="000000" w:themeColor="text1"/>
    </w:rPr>
  </w:style>
  <w:style w:type="paragraph" w:customStyle="1" w:styleId="20">
    <w:name w:val="MTDisplayEquation"/>
    <w:basedOn w:val="5"/>
    <w:next w:val="5"/>
    <w:link w:val="21"/>
    <w:qFormat/>
    <w:uiPriority w:val="0"/>
    <w:pPr>
      <w:tabs>
        <w:tab w:val="center" w:pos="4160"/>
        <w:tab w:val="right" w:pos="8300"/>
      </w:tabs>
    </w:pPr>
  </w:style>
  <w:style w:type="character" w:customStyle="1" w:styleId="21">
    <w:name w:val="MTDisplayEquation Char"/>
    <w:basedOn w:val="12"/>
    <w:link w:val="20"/>
    <w:qFormat/>
    <w:uiPriority w:val="0"/>
  </w:style>
  <w:style w:type="character" w:customStyle="1" w:styleId="22">
    <w:name w:val="脚注文本 Char"/>
    <w:basedOn w:val="12"/>
    <w:link w:val="8"/>
    <w:semiHidden/>
    <w:qFormat/>
    <w:uiPriority w:val="99"/>
    <w:rPr>
      <w:sz w:val="18"/>
      <w:szCs w:val="18"/>
    </w:rPr>
  </w:style>
  <w:style w:type="paragraph" w:customStyle="1" w:styleId="23">
    <w:name w:val="[基本段落]"/>
    <w:basedOn w:val="24"/>
    <w:qFormat/>
    <w:uiPriority w:val="0"/>
  </w:style>
  <w:style w:type="paragraph" w:customStyle="1" w:styleId="24">
    <w:name w:val="[系统文字]"/>
    <w:qFormat/>
    <w:uiPriority w:val="0"/>
    <w:pPr>
      <w:jc w:val="both"/>
    </w:pPr>
    <w:rPr>
      <w:rFonts w:ascii="Times New Roman" w:hAnsi="Times New Roman" w:eastAsia="方正书宋_GBK" w:cstheme="minorBidi"/>
      <w:color w:val="000000"/>
      <w:sz w:val="21"/>
      <w:szCs w:val="21"/>
      <w:lang w:val="en-US" w:eastAsia="zh-CN" w:bidi="ar-SA"/>
    </w:rPr>
  </w:style>
  <w:style w:type="paragraph" w:customStyle="1" w:styleId="25">
    <w:name w:val="Title 2"/>
    <w:basedOn w:val="1"/>
    <w:qFormat/>
    <w:uiPriority w:val="0"/>
    <w:pPr>
      <w:jc w:val="center"/>
      <w:outlineLvl w:val="3"/>
    </w:pPr>
    <w:rPr>
      <w:rFonts w:eastAsia="方正小标宋_GBK"/>
      <w:sz w:val="36"/>
      <w:szCs w:val="36"/>
    </w:rPr>
  </w:style>
  <w:style w:type="paragraph" w:customStyle="1" w:styleId="26">
    <w:name w:val="Title 3"/>
    <w:basedOn w:val="1"/>
    <w:qFormat/>
    <w:uiPriority w:val="0"/>
    <w:pPr>
      <w:jc w:val="center"/>
      <w:outlineLvl w:val="4"/>
    </w:pPr>
    <w:rPr>
      <w:rFonts w:eastAsia="方正准圆_GBK"/>
      <w:sz w:val="32"/>
      <w:szCs w:val="32"/>
    </w:rPr>
  </w:style>
  <w:style w:type="character" w:customStyle="1" w:styleId="27">
    <w:name w:val="标题 2 Char"/>
    <w:basedOn w:val="12"/>
    <w:link w:val="2"/>
    <w:qFormat/>
    <w:uiPriority w:val="9"/>
    <w:rPr>
      <w:rFonts w:ascii="Times New Roman" w:eastAsia="黑体" w:cstheme="majorBidi"/>
      <w:b/>
      <w:bCs/>
      <w:sz w:val="32"/>
      <w:szCs w:val="32"/>
    </w:rPr>
  </w:style>
  <w:style w:type="character" w:customStyle="1" w:styleId="28">
    <w:name w:val="标题 3 Char"/>
    <w:basedOn w:val="12"/>
    <w:link w:val="3"/>
    <w:qFormat/>
    <w:uiPriority w:val="9"/>
    <w:rPr>
      <w:rFonts w:ascii="Times New Roman" w:eastAsia="方正书宋_GBK"/>
      <w:b/>
      <w:bCs/>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2025-02-13T14:41:25Z</dcterms:created>
  <dc:creator>Data</dc:creator>
  <cp:lastModifiedBy>栀子</cp:lastModifiedBy>
  <dcterms:modified xsi:type="dcterms:W3CDTF">2025-02-13T14:42:55Z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11E89426CC69FEF26F94AD6764AEE1A0_42</vt:lpwstr>
  </property>
</Properties>
</file>