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889"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4671"/>
        <w:gridCol w:w="1051"/>
        <w:gridCol w:w="1454"/>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四川省仪陇中学校教学设计表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年级</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2023级</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学科</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课题名称</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00" w:lineRule="auto"/>
              <w:jc w:val="center"/>
              <w:rPr>
                <w:rFonts w:hint="default" w:ascii="华文楷体" w:hAnsi="华文楷体" w:eastAsia="华文楷体" w:cs="华文楷体"/>
                <w:b/>
                <w:bCs/>
                <w:i w:val="0"/>
                <w:iCs w:val="0"/>
                <w:color w:val="000000"/>
                <w:sz w:val="28"/>
                <w:szCs w:val="28"/>
                <w:u w:val="none"/>
              </w:rPr>
            </w:pPr>
            <w:r>
              <w:rPr>
                <w:rFonts w:hint="eastAsia" w:ascii="华文楷体" w:hAnsi="华文楷体" w:eastAsia="华文楷体" w:cs="华文楷体"/>
                <w:b/>
                <w:color w:val="000000"/>
                <w:sz w:val="28"/>
                <w:szCs w:val="28"/>
              </w:rPr>
              <w:drawing>
                <wp:anchor distT="0" distB="0" distL="0" distR="0" simplePos="0" relativeHeight="251659264" behindDoc="0" locked="0" layoutInCell="1" allowOverlap="1">
                  <wp:simplePos x="0" y="0"/>
                  <wp:positionH relativeFrom="page">
                    <wp:posOffset>12433300</wp:posOffset>
                  </wp:positionH>
                  <wp:positionV relativeFrom="topMargin">
                    <wp:posOffset>11353800</wp:posOffset>
                  </wp:positionV>
                  <wp:extent cx="381000" cy="406400"/>
                  <wp:effectExtent l="0" t="0" r="0" b="0"/>
                  <wp:wrapNone/>
                  <wp:docPr id="1034" name="图片 100021"/>
                  <wp:cNvGraphicFramePr/>
                  <a:graphic xmlns:a="http://schemas.openxmlformats.org/drawingml/2006/main">
                    <a:graphicData uri="http://schemas.openxmlformats.org/drawingml/2006/picture">
                      <pic:pic xmlns:pic="http://schemas.openxmlformats.org/drawingml/2006/picture">
                        <pic:nvPicPr>
                          <pic:cNvPr id="1034" name="图片 100021"/>
                          <pic:cNvPicPr/>
                        </pic:nvPicPr>
                        <pic:blipFill>
                          <a:blip r:embed="rId4" cstate="print"/>
                          <a:srcRect/>
                          <a:stretch>
                            <a:fillRect/>
                          </a:stretch>
                        </pic:blipFill>
                        <pic:spPr>
                          <a:xfrm>
                            <a:off x="0" y="0"/>
                            <a:ext cx="381000" cy="406400"/>
                          </a:xfrm>
                          <a:prstGeom prst="rect">
                            <a:avLst/>
                          </a:prstGeom>
                        </pic:spPr>
                      </pic:pic>
                    </a:graphicData>
                  </a:graphic>
                </wp:anchor>
              </w:drawing>
            </w:r>
            <w:r>
              <w:rPr>
                <w:rFonts w:hint="eastAsia" w:ascii="华文楷体" w:hAnsi="华文楷体" w:eastAsia="华文楷体" w:cs="华文楷体"/>
                <w:b/>
                <w:color w:val="000000"/>
                <w:sz w:val="28"/>
                <w:szCs w:val="28"/>
              </w:rPr>
              <w:t xml:space="preserve">第四章 第一节 </w:t>
            </w:r>
            <w:r>
              <w:rPr>
                <w:rFonts w:hint="eastAsia" w:ascii="华文楷体" w:hAnsi="华文楷体" w:eastAsia="华文楷体" w:cs="华文楷体"/>
                <w:b/>
                <w:color w:val="000000"/>
                <w:sz w:val="28"/>
                <w:szCs w:val="28"/>
                <w:lang w:eastAsia="zh-CN"/>
              </w:rPr>
              <w:t>原电池</w:t>
            </w:r>
            <w:r>
              <w:rPr>
                <w:rFonts w:hint="eastAsia" w:ascii="华文楷体" w:hAnsi="华文楷体" w:eastAsia="华文楷体" w:cs="华文楷体"/>
                <w:b/>
                <w:color w:val="000000"/>
                <w:sz w:val="28"/>
                <w:szCs w:val="28"/>
                <w:lang w:val="en-US" w:eastAsia="zh-CN"/>
              </w:rPr>
              <w:t xml:space="preserve"> </w:t>
            </w:r>
            <w:r>
              <w:rPr>
                <w:rFonts w:hint="eastAsia" w:ascii="华文楷体" w:hAnsi="华文楷体" w:eastAsia="华文楷体" w:cs="华文楷体"/>
                <w:b/>
                <w:color w:val="000000"/>
                <w:sz w:val="28"/>
                <w:szCs w:val="28"/>
              </w:rPr>
              <w:t>第二课时</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课型</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新授课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设计者</w:t>
            </w:r>
          </w:p>
        </w:tc>
        <w:tc>
          <w:tcPr>
            <w:tcW w:w="2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鲜萍</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备课时间</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目标</w:t>
            </w:r>
          </w:p>
        </w:tc>
        <w:tc>
          <w:tcPr>
            <w:tcW w:w="45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rPr>
            </w:pPr>
            <w:r>
              <w:rPr>
                <w:rFonts w:hint="eastAsia" w:ascii="华文楷体" w:hAnsi="华文楷体" w:eastAsia="华文楷体" w:cs="华文楷体"/>
                <w:color w:val="000000"/>
                <w:sz w:val="28"/>
                <w:szCs w:val="28"/>
                <w:highlight w:val="none"/>
              </w:rPr>
              <w:t>1.通</w:t>
            </w:r>
            <w:r>
              <w:rPr>
                <w:rFonts w:hint="eastAsia" w:ascii="华文楷体" w:hAnsi="华文楷体" w:eastAsia="华文楷体" w:cs="华文楷体"/>
                <w:color w:val="000000"/>
                <w:sz w:val="28"/>
                <w:szCs w:val="28"/>
                <w:highlight w:val="none"/>
                <w:lang w:eastAsia="zh-CN"/>
              </w:rPr>
              <w:t>过对原电池反应原理的讨论</w:t>
            </w:r>
            <w:r>
              <w:rPr>
                <w:rFonts w:hint="eastAsia" w:ascii="华文楷体" w:hAnsi="华文楷体" w:eastAsia="华文楷体" w:cs="华文楷体"/>
                <w:color w:val="000000"/>
                <w:sz w:val="28"/>
                <w:szCs w:val="28"/>
                <w:highlight w:val="none"/>
              </w:rPr>
              <w:t>，诊断学生对</w:t>
            </w:r>
            <w:r>
              <w:rPr>
                <w:rFonts w:hint="eastAsia" w:ascii="华文楷体" w:hAnsi="华文楷体" w:eastAsia="华文楷体" w:cs="华文楷体"/>
                <w:color w:val="000000"/>
                <w:sz w:val="28"/>
                <w:szCs w:val="28"/>
                <w:highlight w:val="none"/>
                <w:lang w:eastAsia="zh-CN"/>
              </w:rPr>
              <w:t>原电池概念</w:t>
            </w:r>
            <w:r>
              <w:rPr>
                <w:rFonts w:hint="eastAsia" w:ascii="华文楷体" w:hAnsi="华文楷体" w:eastAsia="华文楷体" w:cs="华文楷体"/>
                <w:color w:val="000000"/>
                <w:sz w:val="28"/>
                <w:szCs w:val="28"/>
                <w:highlight w:val="none"/>
              </w:rPr>
              <w:t>的掌握程度；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highlight w:val="none"/>
              </w:rPr>
              <w:t>2.通过对陌生的化学电源组成、结构和工作原理的分析对比研究，认识不同电池的优点和缺陷；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default"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color w:val="000000"/>
                <w:sz w:val="28"/>
                <w:szCs w:val="28"/>
                <w:highlight w:val="none"/>
              </w:rPr>
              <w:t>3.通过</w:t>
            </w:r>
            <w:r>
              <w:rPr>
                <w:rFonts w:hint="eastAsia" w:ascii="华文楷体" w:hAnsi="华文楷体" w:eastAsia="华文楷体" w:cs="华文楷体"/>
                <w:sz w:val="28"/>
                <w:szCs w:val="28"/>
                <w:highlight w:val="none"/>
              </w:rPr>
              <w:t>对化学电源电极反应方程式的书写</w:t>
            </w:r>
            <w:r>
              <w:rPr>
                <w:rFonts w:hint="eastAsia" w:ascii="华文楷体" w:hAnsi="华文楷体" w:eastAsia="华文楷体" w:cs="华文楷体"/>
                <w:color w:val="000000"/>
                <w:sz w:val="28"/>
                <w:szCs w:val="28"/>
                <w:highlight w:val="none"/>
              </w:rPr>
              <w:t>，诊断</w:t>
            </w:r>
            <w:r>
              <w:rPr>
                <w:rFonts w:hint="eastAsia" w:ascii="华文楷体" w:hAnsi="华文楷体" w:eastAsia="华文楷体" w:cs="华文楷体"/>
                <w:sz w:val="28"/>
                <w:szCs w:val="28"/>
                <w:highlight w:val="none"/>
              </w:rPr>
              <w:t>并发展学生的证据推理能力与模型认知素养</w:t>
            </w:r>
            <w:r>
              <w:rPr>
                <w:rFonts w:hint="eastAsia" w:ascii="华文楷体" w:hAnsi="华文楷体" w:eastAsia="华文楷体" w:cs="华文楷体"/>
                <w:color w:val="000000"/>
                <w:sz w:val="28"/>
                <w:szCs w:val="2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left" w:pos="4111"/>
              </w:tabs>
              <w:snapToGrid w:val="0"/>
              <w:spacing w:line="360" w:lineRule="auto"/>
              <w:jc w:val="left"/>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4.</w:t>
            </w:r>
            <w:r>
              <w:rPr>
                <w:rFonts w:hint="eastAsia" w:ascii="华文楷体" w:hAnsi="华文楷体" w:eastAsia="华文楷体" w:cs="华文楷体"/>
                <w:color w:val="000000"/>
                <w:sz w:val="28"/>
                <w:szCs w:val="28"/>
                <w:highlight w:val="none"/>
              </w:rPr>
              <w:t>诊断并发展学生的分析推理能力</w:t>
            </w:r>
            <w:r>
              <w:rPr>
                <w:rFonts w:hint="eastAsia" w:ascii="华文楷体" w:hAnsi="华文楷体" w:eastAsia="华文楷体" w:cs="华文楷体"/>
                <w:color w:val="000000"/>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学习重点</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firstLine="560" w:firstLineChars="200"/>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rPr>
              <w:t>化学电源中一次电池、二次电池的反应原理、性能及其应用。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b/>
                <w:bCs/>
                <w:i w:val="0"/>
                <w:iCs w:val="0"/>
                <w:color w:val="000000"/>
                <w:kern w:val="0"/>
                <w:sz w:val="28"/>
                <w:szCs w:val="28"/>
                <w:u w:val="none"/>
                <w:lang w:val="en-US" w:eastAsia="zh-CN" w:bidi="ar"/>
              </w:rPr>
              <w:t>学习</w:t>
            </w:r>
          </w:p>
          <w:p>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b/>
                <w:bCs/>
                <w:i w:val="0"/>
                <w:iCs w:val="0"/>
                <w:color w:val="000000"/>
                <w:kern w:val="0"/>
                <w:sz w:val="28"/>
                <w:szCs w:val="28"/>
                <w:u w:val="none"/>
                <w:lang w:val="en-US" w:eastAsia="zh-CN" w:bidi="ar"/>
              </w:rPr>
              <w:t>难点</w:t>
            </w:r>
          </w:p>
        </w:tc>
        <w:tc>
          <w:tcPr>
            <w:tcW w:w="1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firstLine="560" w:firstLineChars="200"/>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color w:val="000000"/>
                <w:sz w:val="28"/>
                <w:szCs w:val="28"/>
              </w:rPr>
              <w:t>化学电源电极反应方程式的书写。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课时目标</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rPr>
              <w:t>1.能深入了解原电池的反应原理；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000000"/>
                <w:sz w:val="28"/>
                <w:szCs w:val="28"/>
              </w:rPr>
              <w:t>2.能根据原电池的工作原理分析陌生的化学电源模型的工作原理；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b/>
                <w:bCs/>
                <w:i w:val="0"/>
                <w:iCs w:val="0"/>
                <w:color w:val="000000"/>
                <w:kern w:val="0"/>
                <w:sz w:val="28"/>
                <w:szCs w:val="28"/>
                <w:u w:val="none"/>
                <w:lang w:val="en-US" w:eastAsia="zh-CN" w:bidi="ar"/>
              </w:rPr>
            </w:pPr>
            <w:r>
              <w:rPr>
                <w:rFonts w:hint="eastAsia" w:ascii="华文楷体" w:hAnsi="华文楷体" w:eastAsia="华文楷体" w:cs="华文楷体"/>
                <w:color w:val="000000"/>
                <w:sz w:val="28"/>
                <w:szCs w:val="28"/>
              </w:rPr>
              <w:t>3.能书写化学电源的电极反应方程式；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4.</w:t>
            </w:r>
            <w:r>
              <w:rPr>
                <w:rFonts w:hint="eastAsia" w:ascii="华文楷体" w:hAnsi="华文楷体" w:eastAsia="华文楷体" w:cs="华文楷体"/>
                <w:sz w:val="28"/>
                <w:szCs w:val="28"/>
              </w:rPr>
              <w:t>对于陌生的化学电源模型的反应原理以及电极反应产物的分析</w:t>
            </w:r>
            <w:r>
              <w:rPr>
                <w:rFonts w:hint="eastAsia" w:ascii="华文楷体" w:hAnsi="华文楷体" w:eastAsia="华文楷体" w:cs="华文楷体"/>
                <w:sz w:val="28"/>
                <w:szCs w:val="28"/>
                <w:lang w:val="en-US" w:eastAsia="zh-CN"/>
              </w:rPr>
              <w:t>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核心问题</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华文楷体" w:hAnsi="华文楷体" w:eastAsia="华文楷体" w:cs="华文楷体"/>
                <w:b/>
                <w:bCs/>
                <w:i w:val="0"/>
                <w:iCs w:val="0"/>
                <w:color w:val="000000"/>
                <w:sz w:val="28"/>
                <w:szCs w:val="28"/>
                <w:u w:val="none"/>
              </w:rPr>
            </w:pPr>
            <w:r>
              <w:rPr>
                <w:rFonts w:hint="eastAsia" w:ascii="华文楷体" w:hAnsi="华文楷体" w:eastAsia="华文楷体" w:cs="华文楷体"/>
                <w:color w:val="auto"/>
                <w:sz w:val="28"/>
                <w:szCs w:val="28"/>
              </w:rPr>
              <w:t>认识化学能与电能相互转化的实际意义及其重要作用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36"/>
                <w:szCs w:val="36"/>
                <w:u w:val="none"/>
              </w:rPr>
            </w:pPr>
            <w:r>
              <w:rPr>
                <w:rFonts w:hint="default" w:ascii="华文楷体" w:hAnsi="华文楷体" w:eastAsia="华文楷体" w:cs="华文楷体"/>
                <w:b/>
                <w:bCs/>
                <w:i w:val="0"/>
                <w:iCs w:val="0"/>
                <w:color w:val="000000"/>
                <w:kern w:val="0"/>
                <w:sz w:val="36"/>
                <w:szCs w:val="36"/>
                <w:u w:val="none"/>
                <w:lang w:val="en-US" w:eastAsia="zh-CN" w:bidi="ar"/>
              </w:rPr>
              <w:t>教学过程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学习内容</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教师活动</w:t>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学生活动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任务一：</w:t>
            </w:r>
            <w:r>
              <w:rPr>
                <w:rFonts w:hint="eastAsia" w:ascii="华文楷体" w:hAnsi="华文楷体" w:eastAsia="华文楷体" w:cs="华文楷体"/>
                <w:sz w:val="28"/>
                <w:szCs w:val="28"/>
              </w:rPr>
              <w:t>温故知新</w:t>
            </w:r>
          </w:p>
        </w:tc>
        <w:tc>
          <w:tcPr>
            <w:tcW w:w="22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华文楷体" w:hAnsi="华文楷体" w:eastAsia="华文楷体" w:cs="华文楷体"/>
                <w:sz w:val="28"/>
                <w:szCs w:val="28"/>
              </w:rPr>
            </w:pP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课堂导入</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教师引导学生回顾原电池模型的反应原理等基本信息。</w:t>
            </w:r>
            <w:r>
              <w:rPr>
                <w:rFonts w:hint="eastAsia" w:ascii="华文楷体" w:hAnsi="华文楷体" w:eastAsia="华文楷体" w:cs="华文楷体"/>
                <w:sz w:val="28"/>
                <w:szCs w:val="28"/>
                <w:lang w:val="en-US" w:eastAsia="zh-CN"/>
              </w:rPr>
              <w:t>构成</w:t>
            </w:r>
            <w:r>
              <w:rPr>
                <w:rFonts w:hint="eastAsia" w:ascii="华文楷体" w:hAnsi="华文楷体" w:eastAsia="华文楷体" w:cs="华文楷体"/>
                <w:sz w:val="28"/>
                <w:szCs w:val="28"/>
              </w:rPr>
              <w:t>原电池，</w:t>
            </w:r>
            <w:r>
              <w:rPr>
                <w:rFonts w:hint="eastAsia" w:ascii="华文楷体" w:hAnsi="华文楷体" w:eastAsia="华文楷体" w:cs="华文楷体"/>
                <w:sz w:val="28"/>
                <w:szCs w:val="28"/>
                <w:lang w:val="en-US" w:eastAsia="zh-CN"/>
              </w:rPr>
              <w:t>需要</w:t>
            </w:r>
            <w:r>
              <w:rPr>
                <w:rFonts w:hint="eastAsia" w:ascii="华文楷体" w:hAnsi="华文楷体" w:eastAsia="华文楷体" w:cs="华文楷体"/>
                <w:sz w:val="28"/>
                <w:szCs w:val="28"/>
              </w:rPr>
              <w:t>自发氧化还原反应中的氧化反应和还原反应，在原电池装置中被拆分成为发生在不同区域进行的电极</w:t>
            </w:r>
            <w:r>
              <w:rPr>
                <w:rFonts w:hint="eastAsia" w:ascii="华文楷体" w:hAnsi="华文楷体" w:eastAsia="华文楷体" w:cs="华文楷体"/>
                <w:sz w:val="28"/>
                <w:szCs w:val="28"/>
                <w:lang w:val="en-US" w:eastAsia="zh-CN"/>
              </w:rPr>
              <w:t>反应，借助</w:t>
            </w:r>
            <w:r>
              <w:rPr>
                <w:rFonts w:hint="eastAsia" w:ascii="华文楷体" w:hAnsi="华文楷体" w:eastAsia="华文楷体" w:cs="华文楷体"/>
                <w:sz w:val="28"/>
                <w:szCs w:val="28"/>
              </w:rPr>
              <w:t>装置中的电极材料</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离子导体和电子导体</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就可以将反应物中的化学能转化为</w:t>
            </w:r>
            <w:r>
              <w:rPr>
                <w:rFonts w:hint="eastAsia" w:ascii="华文楷体" w:hAnsi="华文楷体" w:eastAsia="华文楷体" w:cs="华文楷体"/>
                <w:sz w:val="28"/>
                <w:szCs w:val="28"/>
                <w:lang w:val="en-US" w:eastAsia="zh-CN"/>
              </w:rPr>
              <w:t>电能</w:t>
            </w:r>
            <w:r>
              <w:rPr>
                <w:rFonts w:hint="eastAsia" w:ascii="华文楷体" w:hAnsi="华文楷体" w:eastAsia="华文楷体" w:cs="华文楷体"/>
                <w:sz w:val="28"/>
                <w:szCs w:val="28"/>
              </w:rPr>
              <w:t>。</w:t>
            </w:r>
          </w:p>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lang w:val="en-US"/>
              </w:rPr>
            </w:pPr>
            <w:r>
              <w:rPr>
                <w:sz w:val="18"/>
                <w:szCs w:val="18"/>
              </w:rPr>
              <w:drawing>
                <wp:inline distT="0" distB="0" distL="0" distR="0">
                  <wp:extent cx="3087370" cy="1711325"/>
                  <wp:effectExtent l="0" t="0" r="11430" b="15875"/>
                  <wp:docPr id="1037" name="图片 2"/>
                  <wp:cNvGraphicFramePr/>
                  <a:graphic xmlns:a="http://schemas.openxmlformats.org/drawingml/2006/main">
                    <a:graphicData uri="http://schemas.openxmlformats.org/drawingml/2006/picture">
                      <pic:pic xmlns:pic="http://schemas.openxmlformats.org/drawingml/2006/picture">
                        <pic:nvPicPr>
                          <pic:cNvPr id="1037" name="图片 2"/>
                          <pic:cNvPicPr/>
                        </pic:nvPicPr>
                        <pic:blipFill>
                          <a:blip r:embed="rId5" cstate="print"/>
                          <a:srcRect/>
                          <a:stretch>
                            <a:fillRect/>
                          </a:stretch>
                        </pic:blipFill>
                        <pic:spPr>
                          <a:xfrm>
                            <a:off x="0" y="0"/>
                            <a:ext cx="3087370" cy="1711325"/>
                          </a:xfrm>
                          <a:prstGeom prst="rect">
                            <a:avLst/>
                          </a:prstGeom>
                          <a:ln>
                            <a:noFill/>
                          </a:ln>
                        </pic:spPr>
                      </pic:pic>
                    </a:graphicData>
                  </a:graphic>
                </wp:inline>
              </w:drawing>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回顾已学知识</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bCs/>
                <w:i w:val="0"/>
                <w:iCs w:val="0"/>
                <w:color w:val="000000"/>
                <w:sz w:val="28"/>
                <w:szCs w:val="28"/>
                <w:u w:val="none"/>
                <w:lang w:val="en-US" w:eastAsia="zh-CN"/>
              </w:rPr>
              <w:t>提高学生利用好已有知识学习新知识‘温故而知新‘的能力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lang w:val="en-US"/>
              </w:rPr>
            </w:pPr>
            <w:r>
              <w:rPr>
                <w:rFonts w:hint="default" w:ascii="华文楷体" w:hAnsi="华文楷体" w:eastAsia="华文楷体" w:cs="华文楷体"/>
                <w:b/>
                <w:bCs/>
                <w:i w:val="0"/>
                <w:iCs w:val="0"/>
                <w:color w:val="000000"/>
                <w:kern w:val="0"/>
                <w:sz w:val="22"/>
                <w:szCs w:val="22"/>
                <w:u w:val="none"/>
                <w:lang w:val="en-US" w:eastAsia="zh-CN" w:bidi="ar"/>
              </w:rPr>
              <w:t>任务二：</w:t>
            </w:r>
            <w:r>
              <w:rPr>
                <w:rFonts w:hint="eastAsia" w:ascii="华文楷体" w:hAnsi="华文楷体" w:eastAsia="华文楷体" w:cs="华文楷体"/>
                <w:sz w:val="28"/>
                <w:szCs w:val="28"/>
              </w:rPr>
              <w:t>课堂引入</w:t>
            </w:r>
          </w:p>
        </w:tc>
        <w:tc>
          <w:tcPr>
            <w:tcW w:w="22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【教师提问】科学家在依据原电池的原理设计化学电源时要综合考虑全面分析哪些因素？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lang w:val="en-US"/>
              </w:rPr>
            </w:pPr>
            <w:r>
              <w:rPr>
                <w:rFonts w:hint="eastAsia" w:ascii="华文楷体" w:hAnsi="华文楷体" w:eastAsia="华文楷体" w:cs="华文楷体"/>
                <w:sz w:val="28"/>
                <w:szCs w:val="28"/>
              </w:rPr>
              <w:drawing>
                <wp:inline distT="0" distB="0" distL="0" distR="0">
                  <wp:extent cx="2405380" cy="1983105"/>
                  <wp:effectExtent l="0" t="0" r="7620" b="23495"/>
                  <wp:docPr id="1038" name="图片 2"/>
                  <wp:cNvGraphicFramePr/>
                  <a:graphic xmlns:a="http://schemas.openxmlformats.org/drawingml/2006/main">
                    <a:graphicData uri="http://schemas.openxmlformats.org/drawingml/2006/picture">
                      <pic:pic xmlns:pic="http://schemas.openxmlformats.org/drawingml/2006/picture">
                        <pic:nvPicPr>
                          <pic:cNvPr id="1038" name="图片 2"/>
                          <pic:cNvPicPr/>
                        </pic:nvPicPr>
                        <pic:blipFill>
                          <a:blip r:embed="rId6" cstate="print"/>
                          <a:srcRect/>
                          <a:stretch>
                            <a:fillRect/>
                          </a:stretch>
                        </pic:blipFill>
                        <pic:spPr>
                          <a:xfrm>
                            <a:off x="0" y="0"/>
                            <a:ext cx="2405380" cy="1983105"/>
                          </a:xfrm>
                          <a:prstGeom prst="rect">
                            <a:avLst/>
                          </a:prstGeom>
                        </pic:spPr>
                      </pic:pic>
                    </a:graphicData>
                  </a:graphic>
                </wp:inline>
              </w:drawing>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根据生活经验，认识原电池和化学电源的差别，分析科学家设计化学电源时要必须解决的问题，比如比能量、原料、安全、成本及环保等。</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通过观察，思考，解决问题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kern w:val="0"/>
                <w:sz w:val="22"/>
                <w:szCs w:val="22"/>
                <w:u w:val="none"/>
                <w:lang w:val="en-US" w:eastAsia="zh-CN" w:bidi="ar"/>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三</w:t>
            </w:r>
            <w:r>
              <w:rPr>
                <w:rFonts w:hint="default" w:ascii="华文楷体" w:hAnsi="华文楷体" w:eastAsia="华文楷体" w:cs="华文楷体"/>
                <w:b/>
                <w:bCs/>
                <w:i w:val="0"/>
                <w:iCs w:val="0"/>
                <w:color w:val="000000"/>
                <w:kern w:val="0"/>
                <w:sz w:val="22"/>
                <w:szCs w:val="22"/>
                <w:u w:val="none"/>
                <w:lang w:val="en-US" w:eastAsia="zh-CN" w:bidi="ar"/>
              </w:rPr>
              <w:t>：</w:t>
            </w:r>
            <w:r>
              <w:rPr>
                <w:rFonts w:hint="eastAsia" w:ascii="华文楷体" w:hAnsi="华文楷体" w:eastAsia="华文楷体" w:cs="华文楷体"/>
                <w:sz w:val="28"/>
                <w:szCs w:val="28"/>
              </w:rPr>
              <w:t>建立模型</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【教师提问】在日常生活和学习中，大家用过哪些电池？使用电池时是否关注过电池上的标识吗？这些电池在工作的过程中是否发生化学反应，这些化学反应的类型是什么？</w:t>
            </w:r>
          </w:p>
          <w:p>
            <w:pPr>
              <w:jc w:val="left"/>
              <w:rPr>
                <w:rFonts w:hint="default" w:ascii="华文楷体" w:hAnsi="华文楷体" w:eastAsia="华文楷体" w:cs="华文楷体"/>
                <w:b/>
                <w:bCs/>
                <w:i w:val="0"/>
                <w:iCs w:val="0"/>
                <w:color w:val="000000"/>
                <w:kern w:val="0"/>
                <w:sz w:val="22"/>
                <w:szCs w:val="22"/>
                <w:u w:val="none"/>
                <w:lang w:val="en-US" w:eastAsia="zh-CN" w:bidi="ar"/>
              </w:rPr>
            </w:pPr>
            <w:r>
              <w:rPr>
                <w:rFonts w:hint="eastAsia" w:ascii="华文楷体" w:hAnsi="华文楷体" w:eastAsia="华文楷体" w:cs="华文楷体"/>
                <w:sz w:val="28"/>
                <w:szCs w:val="28"/>
                <w:lang w:eastAsia="zh-CN"/>
              </w:rPr>
              <w:t>【教师讲解】</w:t>
            </w:r>
            <w:r>
              <w:rPr>
                <w:rFonts w:hint="eastAsia" w:ascii="华文楷体" w:hAnsi="华文楷体" w:eastAsia="华文楷体" w:cs="华文楷体"/>
                <w:sz w:val="28"/>
                <w:szCs w:val="28"/>
              </w:rPr>
              <w:t>最初的普通锌锰干电池使用寿命短，科学家研究了使用寿命更长，现在广泛使用的</w:t>
            </w:r>
            <w:r>
              <w:rPr>
                <w:rFonts w:hint="eastAsia" w:ascii="华文楷体" w:hAnsi="华文楷体" w:eastAsia="华文楷体" w:cs="华文楷体"/>
                <w:sz w:val="28"/>
                <w:szCs w:val="28"/>
                <w:lang w:eastAsia="zh-CN"/>
              </w:rPr>
              <w:t>碱性</w:t>
            </w:r>
            <w:r>
              <w:rPr>
                <w:rFonts w:hint="eastAsia" w:ascii="华文楷体" w:hAnsi="华文楷体" w:eastAsia="华文楷体" w:cs="华文楷体"/>
                <w:sz w:val="28"/>
                <w:szCs w:val="28"/>
              </w:rPr>
              <w:t>锌锰干电池，考虑到干电池无法充电，研究人员研发了可反复使用的二次电池，电池在需求和创意的推动下，不断的向更新的方向发展，而</w:t>
            </w:r>
            <w:r>
              <w:rPr>
                <w:rFonts w:hint="eastAsia" w:ascii="华文楷体" w:hAnsi="华文楷体" w:eastAsia="华文楷体" w:cs="华文楷体"/>
                <w:sz w:val="28"/>
                <w:szCs w:val="28"/>
                <w:lang w:eastAsia="zh-CN"/>
              </w:rPr>
              <w:t>这些化学电源</w:t>
            </w:r>
            <w:r>
              <w:rPr>
                <w:rFonts w:hint="eastAsia" w:ascii="华文楷体" w:hAnsi="华文楷体" w:eastAsia="华文楷体" w:cs="华文楷体"/>
                <w:sz w:val="28"/>
                <w:szCs w:val="28"/>
              </w:rPr>
              <w:t>的雏形都是原电池。</w:t>
            </w:r>
          </w:p>
        </w:tc>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列举日常生活中常用的化学电源。</w:t>
            </w:r>
          </w:p>
          <w:p>
            <w:pPr>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根据已学的原电池知识，</w:t>
            </w:r>
            <w:r>
              <w:rPr>
                <w:rFonts w:hint="eastAsia" w:ascii="华文楷体" w:hAnsi="华文楷体" w:eastAsia="华文楷体" w:cs="华文楷体"/>
                <w:sz w:val="28"/>
                <w:szCs w:val="28"/>
                <w:lang w:val="en-US" w:eastAsia="zh-CN"/>
              </w:rPr>
              <w:t>结合生活中的实际理解，对化学电源的要求与发展趋势有初步认识。</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揭示本质，培养分析问题能力</w:t>
            </w:r>
          </w:p>
          <w:p>
            <w:pPr>
              <w:spacing w:line="300" w:lineRule="auto"/>
              <w:rPr>
                <w:rFonts w:hint="eastAsia" w:ascii="华文楷体" w:hAnsi="华文楷体" w:eastAsia="华文楷体" w:cs="华文楷体"/>
                <w:sz w:val="28"/>
                <w:szCs w:val="28"/>
              </w:rPr>
            </w:pPr>
          </w:p>
          <w:p>
            <w:pPr>
              <w:spacing w:line="300" w:lineRule="auto"/>
            </w:pPr>
          </w:p>
          <w:p>
            <w:pPr>
              <w:jc w:val="center"/>
              <w:rPr>
                <w:rFonts w:hint="default" w:ascii="华文楷体" w:hAnsi="华文楷体" w:eastAsia="华文楷体" w:cs="华文楷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四</w:t>
            </w:r>
            <w:r>
              <w:rPr>
                <w:rFonts w:hint="default" w:ascii="华文楷体" w:hAnsi="华文楷体" w:eastAsia="华文楷体" w:cs="华文楷体"/>
                <w:b/>
                <w:bCs/>
                <w:i w:val="0"/>
                <w:iCs w:val="0"/>
                <w:color w:val="000000"/>
                <w:kern w:val="0"/>
                <w:sz w:val="22"/>
                <w:szCs w:val="22"/>
                <w:u w:val="none"/>
                <w:lang w:val="en-US" w:eastAsia="zh-CN" w:bidi="ar"/>
              </w:rPr>
              <w:t>：</w:t>
            </w:r>
            <w:r>
              <w:rPr>
                <w:rFonts w:hint="eastAsia" w:ascii="华文楷体" w:hAnsi="华文楷体" w:eastAsia="华文楷体" w:cs="华文楷体"/>
                <w:sz w:val="28"/>
                <w:szCs w:val="28"/>
                <w:lang w:val="en-US" w:eastAsia="zh-CN"/>
              </w:rPr>
              <w:t>应用模型</w:t>
            </w:r>
          </w:p>
        </w:tc>
        <w:tc>
          <w:tcPr>
            <w:tcW w:w="22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w:t>
            </w:r>
            <w:bookmarkStart w:id="0" w:name="_GoBack"/>
            <w:bookmarkEnd w:id="0"/>
            <w:r>
              <w:rPr>
                <w:rFonts w:hint="eastAsia" w:ascii="华文楷体" w:hAnsi="华文楷体" w:eastAsia="华文楷体" w:cs="华文楷体"/>
                <w:sz w:val="28"/>
                <w:szCs w:val="28"/>
              </w:rPr>
              <w:t>课堂练习】让学生观察图中的细节，如介质、内容物等，书写电极反应方程式。</w:t>
            </w:r>
          </w:p>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drawing>
                <wp:inline distT="0" distB="0" distL="0" distR="0">
                  <wp:extent cx="3086735" cy="1033145"/>
                  <wp:effectExtent l="0" t="0" r="12065" b="8255"/>
                  <wp:docPr id="1040" name="图片 2"/>
                  <wp:cNvGraphicFramePr/>
                  <a:graphic xmlns:a="http://schemas.openxmlformats.org/drawingml/2006/main">
                    <a:graphicData uri="http://schemas.openxmlformats.org/drawingml/2006/picture">
                      <pic:pic xmlns:pic="http://schemas.openxmlformats.org/drawingml/2006/picture">
                        <pic:nvPicPr>
                          <pic:cNvPr id="1040" name="图片 2"/>
                          <pic:cNvPicPr/>
                        </pic:nvPicPr>
                        <pic:blipFill>
                          <a:blip r:embed="rId7" cstate="print"/>
                          <a:srcRect/>
                          <a:stretch>
                            <a:fillRect/>
                          </a:stretch>
                        </pic:blipFill>
                        <pic:spPr>
                          <a:xfrm>
                            <a:off x="0" y="0"/>
                            <a:ext cx="3086735" cy="1033779"/>
                          </a:xfrm>
                          <a:prstGeom prst="rect">
                            <a:avLst/>
                          </a:prstGeom>
                          <a:ln>
                            <a:noFill/>
                          </a:ln>
                        </pic:spPr>
                      </pic:pic>
                    </a:graphicData>
                  </a:graphic>
                </wp:inline>
              </w:drawing>
            </w:r>
          </w:p>
          <w:p>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教师</w:t>
            </w:r>
            <w:r>
              <w:rPr>
                <w:rFonts w:hint="eastAsia" w:ascii="华文楷体" w:hAnsi="华文楷体" w:eastAsia="华文楷体" w:cs="华文楷体"/>
                <w:sz w:val="28"/>
                <w:szCs w:val="28"/>
              </w:rPr>
              <w:t>评价】用实物投影展示学生练习，结合学生书写给予评价。</w:t>
            </w:r>
          </w:p>
        </w:tc>
        <w:tc>
          <w:tcPr>
            <w:tcW w:w="1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val="0"/>
              <w:snapToGrid w:val="0"/>
              <w:spacing w:line="300" w:lineRule="auto"/>
              <w:ind w:right="0" w:righ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观察</w:t>
            </w:r>
            <w:r>
              <w:rPr>
                <w:rFonts w:hint="eastAsia" w:ascii="华文楷体" w:hAnsi="华文楷体" w:eastAsia="华文楷体" w:cs="华文楷体"/>
                <w:sz w:val="28"/>
                <w:szCs w:val="28"/>
                <w:lang w:val="en-US" w:eastAsia="zh-CN"/>
              </w:rPr>
              <w:t>碱性</w:t>
            </w:r>
            <w:r>
              <w:rPr>
                <w:rFonts w:hint="eastAsia" w:ascii="华文楷体" w:hAnsi="华文楷体" w:eastAsia="华文楷体" w:cs="华文楷体"/>
                <w:sz w:val="28"/>
                <w:szCs w:val="28"/>
              </w:rPr>
              <w:t>锌锰电池的构造，根据已有知识书写电极反应方程式。</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对自己及其他同学书写的电极反应方程式</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培养归纳</w:t>
            </w:r>
          </w:p>
          <w:p>
            <w:pPr>
              <w:spacing w:line="300" w:lineRule="auto"/>
              <w:rPr>
                <w:rFonts w:hint="eastAsia" w:ascii="华文楷体" w:hAnsi="华文楷体" w:eastAsia="华文楷体" w:cs="华文楷体"/>
                <w:sz w:val="28"/>
                <w:szCs w:val="28"/>
              </w:rPr>
            </w:pPr>
            <w:r>
              <w:rPr>
                <w:rFonts w:hint="eastAsia" w:ascii="华文楷体" w:hAnsi="华文楷体" w:eastAsia="华文楷体" w:cs="华文楷体"/>
                <w:sz w:val="28"/>
                <w:szCs w:val="28"/>
              </w:rPr>
              <w:t>抽象能力</w:t>
            </w:r>
          </w:p>
          <w:p>
            <w:pPr>
              <w:keepNext w:val="0"/>
              <w:keepLines w:val="0"/>
              <w:widowControl/>
              <w:suppressLineNumbers w:val="0"/>
              <w:jc w:val="both"/>
              <w:textAlignment w:val="center"/>
              <w:rPr>
                <w:rFonts w:hint="default" w:ascii="华文楷体" w:hAnsi="华文楷体" w:eastAsia="华文楷体" w:cs="华文楷体"/>
                <w:b/>
                <w:bCs/>
                <w:i w:val="0"/>
                <w:iCs w:val="0"/>
                <w:color w:val="000000"/>
                <w:sz w:val="22"/>
                <w:szCs w:val="22"/>
                <w:u w:val="none"/>
              </w:rPr>
            </w:pPr>
            <w:r>
              <w:rPr>
                <w:rFonts w:hint="eastAsia" w:ascii="华文楷体" w:hAnsi="华文楷体" w:eastAsia="华文楷体" w:cs="华文楷体"/>
                <w:sz w:val="28"/>
                <w:szCs w:val="28"/>
              </w:rPr>
              <w:t>巩固提高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华文楷体" w:hAnsi="华文楷体" w:eastAsia="华文楷体" w:cs="华文楷体"/>
                <w:b/>
                <w:bCs/>
                <w:i w:val="0"/>
                <w:iCs w:val="0"/>
                <w:color w:val="000000"/>
                <w:sz w:val="22"/>
                <w:szCs w:val="22"/>
                <w:u w:val="none"/>
              </w:rPr>
            </w:pPr>
          </w:p>
        </w:tc>
        <w:tc>
          <w:tcPr>
            <w:tcW w:w="22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作业设计</w:t>
            </w:r>
          </w:p>
        </w:tc>
        <w:tc>
          <w:tcPr>
            <w:tcW w:w="45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课时作业2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板书</w:t>
            </w:r>
          </w:p>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w:t>
            </w:r>
          </w:p>
        </w:tc>
        <w:tc>
          <w:tcPr>
            <w:tcW w:w="4596"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华文楷体" w:hAnsi="华文楷体" w:cs="华文楷体" w:eastAsiaTheme="minorEastAsia"/>
                <w:b/>
                <w:bCs/>
                <w:i w:val="0"/>
                <w:iCs w:val="0"/>
                <w:color w:val="000000"/>
                <w:sz w:val="28"/>
                <w:szCs w:val="28"/>
                <w:u w:val="none"/>
                <w:lang w:val="en-US" w:eastAsia="zh-CN"/>
              </w:rPr>
            </w:pPr>
            <w:r>
              <w:rPr>
                <w:sz w:val="18"/>
                <w:szCs w:val="18"/>
              </w:rPr>
              <w:drawing>
                <wp:inline distT="0" distB="0" distL="0" distR="0">
                  <wp:extent cx="4311650" cy="1696720"/>
                  <wp:effectExtent l="0" t="0" r="6350" b="5080"/>
                  <wp:docPr id="1049" name="图片 6"/>
                  <wp:cNvGraphicFramePr/>
                  <a:graphic xmlns:a="http://schemas.openxmlformats.org/drawingml/2006/main">
                    <a:graphicData uri="http://schemas.openxmlformats.org/drawingml/2006/picture">
                      <pic:pic xmlns:pic="http://schemas.openxmlformats.org/drawingml/2006/picture">
                        <pic:nvPicPr>
                          <pic:cNvPr id="1049" name="图片 6"/>
                          <pic:cNvPicPr/>
                        </pic:nvPicPr>
                        <pic:blipFill>
                          <a:blip r:embed="rId8" cstate="print"/>
                          <a:srcRect/>
                          <a:stretch>
                            <a:fillRect/>
                          </a:stretch>
                        </pic:blipFill>
                        <pic:spPr>
                          <a:xfrm>
                            <a:off x="0" y="0"/>
                            <a:ext cx="4311650" cy="1696720"/>
                          </a:xfrm>
                          <a:prstGeom prst="rect">
                            <a:avLst/>
                          </a:prstGeom>
                          <a:ln>
                            <a:noFill/>
                          </a:ln>
                        </pic:spPr>
                      </pic:pic>
                    </a:graphicData>
                  </a:graphic>
                </wp:inline>
              </w:drawing>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80000287" w:usb1="280F3C52" w:usb2="00000016" w:usb3="00000000" w:csb0="0004001F" w:csb1="00000000"/>
  </w:font>
  <w:font w:name="方正小标宋简体">
    <w:altName w:val="汉仪书宋二KW"/>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E3YWQ2MzcwYmEwMjdjOWQ5NTdmYjk0ZjhjYTMifQ=="/>
  </w:docVars>
  <w:rsids>
    <w:rsidRoot w:val="3A8A0CC5"/>
    <w:rsid w:val="0E7F1DAC"/>
    <w:rsid w:val="271D1BB2"/>
    <w:rsid w:val="3A8A0CC5"/>
    <w:rsid w:val="73FDE5CE"/>
    <w:rsid w:val="7A2E533F"/>
    <w:rsid w:val="7CBB4020"/>
    <w:rsid w:val="7D66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default" w:ascii="华文楷体" w:hAnsi="华文楷体" w:eastAsia="华文楷体" w:cs="华文楷体"/>
      <w:b/>
      <w:bCs/>
      <w:color w:val="000000"/>
      <w:sz w:val="28"/>
      <w:szCs w:val="28"/>
      <w:u w:val="none"/>
    </w:rPr>
  </w:style>
  <w:style w:type="character" w:customStyle="1" w:styleId="7">
    <w:name w:val="font61"/>
    <w:basedOn w:val="5"/>
    <w:qFormat/>
    <w:uiPriority w:val="0"/>
    <w:rPr>
      <w:rFonts w:hint="default" w:ascii="华文楷体" w:hAnsi="华文楷体" w:eastAsia="华文楷体" w:cs="华文楷体"/>
      <w:b/>
      <w:bCs/>
      <w:color w:val="000000"/>
      <w:sz w:val="28"/>
      <w:szCs w:val="28"/>
      <w:u w:val="single"/>
    </w:rPr>
  </w:style>
  <w:style w:type="character" w:customStyle="1" w:styleId="8">
    <w:name w:val="font51"/>
    <w:basedOn w:val="5"/>
    <w:qFormat/>
    <w:uiPriority w:val="0"/>
    <w:rPr>
      <w:rFonts w:hint="default" w:ascii="华文楷体" w:hAnsi="华文楷体" w:eastAsia="华文楷体" w:cs="华文楷体"/>
      <w:b/>
      <w:bCs/>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631</Words>
  <Characters>648</Characters>
  <Lines>0</Lines>
  <Paragraphs>0</Paragraphs>
  <TotalTime>0</TotalTime>
  <ScaleCrop>false</ScaleCrop>
  <LinksUpToDate>false</LinksUpToDate>
  <CharactersWithSpaces>657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2023-04-13T03:34:00Z</dcterms:created>
  <dc:creator>Lenovo</dc:creator>
  <cp:lastModifiedBy>栀子</cp:lastModifiedBy>
  <dcterms:modified xsi:type="dcterms:W3CDTF">2024-07-14T14:00:08Z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2C852AACCB0C4404A188D068FBA4B797_13</vt:lpwstr>
  </property>
</Properties>
</file>