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889"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4671"/>
        <w:gridCol w:w="1051"/>
        <w:gridCol w:w="1454"/>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四川省仪陇中学校教学设计表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年级</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2023级</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学科</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课题名称</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4111"/>
              </w:tabs>
              <w:snapToGrid w:val="0"/>
              <w:spacing w:line="360" w:lineRule="auto"/>
              <w:ind w:firstLine="561" w:firstLineChars="200"/>
              <w:jc w:val="center"/>
              <w:rPr>
                <w:rFonts w:hint="eastAsia"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 xml:space="preserve">第一章原子结构与性质 </w:t>
            </w:r>
          </w:p>
          <w:p>
            <w:pPr>
              <w:pStyle w:val="2"/>
              <w:tabs>
                <w:tab w:val="left" w:pos="4111"/>
              </w:tabs>
              <w:snapToGrid w:val="0"/>
              <w:spacing w:line="360" w:lineRule="auto"/>
              <w:ind w:firstLine="561" w:firstLineChars="200"/>
              <w:jc w:val="center"/>
              <w:rPr>
                <w:rFonts w:hint="eastAsia"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第二节原子结构与元素的性质</w:t>
            </w:r>
          </w:p>
          <w:p>
            <w:pPr>
              <w:adjustRightInd w:val="0"/>
              <w:snapToGrid w:val="0"/>
              <w:spacing w:line="300" w:lineRule="auto"/>
              <w:jc w:val="center"/>
              <w:rPr>
                <w:rFonts w:hint="default" w:ascii="华文楷体" w:hAnsi="华文楷体" w:eastAsia="华文楷体" w:cs="华文楷体"/>
                <w:b/>
                <w:bCs/>
                <w:i w:val="0"/>
                <w:iCs w:val="0"/>
                <w:color w:val="000000"/>
                <w:kern w:val="2"/>
                <w:sz w:val="28"/>
                <w:szCs w:val="28"/>
                <w:u w:val="none"/>
                <w:lang w:val="en-US" w:eastAsia="zh-CN" w:bidi="ar-SA"/>
              </w:rPr>
            </w:pPr>
            <w:r>
              <w:rPr>
                <w:rFonts w:hint="eastAsia" w:ascii="Times New Roman" w:hAnsi="Times New Roman" w:eastAsia="宋体" w:cs="Times New Roman"/>
                <w:b/>
                <w:color w:val="000000" w:themeColor="text1"/>
                <w:sz w:val="28"/>
                <w:szCs w:val="28"/>
                <w14:textFill>
                  <w14:solidFill>
                    <w14:schemeClr w14:val="tx1"/>
                  </w14:solidFill>
                </w14:textFill>
              </w:rPr>
              <w:t xml:space="preserve">课时2 元素周期律 </w:t>
            </w:r>
            <w:r>
              <w:rPr>
                <w:rFonts w:hint="eastAsia" w:asciiTheme="majorEastAsia" w:hAnsiTheme="majorEastAsia" w:eastAsiaTheme="majorEastAsia" w:cstheme="majorEastAsia"/>
                <w:b/>
                <w:color w:val="000000"/>
                <w:sz w:val="28"/>
                <w:szCs w:val="28"/>
              </w:rPr>
              <w:drawing>
                <wp:anchor distT="0" distB="0" distL="0" distR="0" simplePos="0" relativeHeight="251659264" behindDoc="0" locked="0" layoutInCell="1" allowOverlap="1">
                  <wp:simplePos x="0" y="0"/>
                  <wp:positionH relativeFrom="page">
                    <wp:posOffset>12433300</wp:posOffset>
                  </wp:positionH>
                  <wp:positionV relativeFrom="topMargin">
                    <wp:posOffset>11353800</wp:posOffset>
                  </wp:positionV>
                  <wp:extent cx="381000" cy="406400"/>
                  <wp:effectExtent l="0" t="0" r="0" b="0"/>
                  <wp:wrapNone/>
                  <wp:docPr id="2" name="图片 100021"/>
                  <wp:cNvGraphicFramePr/>
                  <a:graphic xmlns:a="http://schemas.openxmlformats.org/drawingml/2006/main">
                    <a:graphicData uri="http://schemas.openxmlformats.org/drawingml/2006/picture">
                      <pic:pic xmlns:pic="http://schemas.openxmlformats.org/drawingml/2006/picture">
                        <pic:nvPicPr>
                          <pic:cNvPr id="2" name="图片 100021"/>
                          <pic:cNvPicPr/>
                        </pic:nvPicPr>
                        <pic:blipFill>
                          <a:blip r:embed="rId4" cstate="print"/>
                          <a:srcRect/>
                          <a:stretch>
                            <a:fillRect/>
                          </a:stretch>
                        </pic:blipFill>
                        <pic:spPr>
                          <a:xfrm>
                            <a:off x="0" y="0"/>
                            <a:ext cx="381000" cy="406400"/>
                          </a:xfrm>
                          <a:prstGeom prst="rect">
                            <a:avLst/>
                          </a:prstGeom>
                        </pic:spPr>
                      </pic:pic>
                    </a:graphicData>
                  </a:graphic>
                </wp:anchor>
              </w:drawing>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课型</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新授课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设计者</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鲜萍</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备课时间</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目标</w:t>
            </w:r>
          </w:p>
        </w:tc>
        <w:tc>
          <w:tcPr>
            <w:tcW w:w="45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rPr>
            </w:pPr>
            <w:r>
              <w:rPr>
                <w:rFonts w:hint="eastAsia" w:ascii="华文楷体" w:hAnsi="华文楷体" w:eastAsia="华文楷体" w:cs="华文楷体"/>
                <w:color w:val="000000"/>
                <w:sz w:val="28"/>
                <w:szCs w:val="28"/>
                <w:highlight w:val="none"/>
              </w:rPr>
              <w:t>1.</w:t>
            </w:r>
            <w:r>
              <w:rPr>
                <w:rFonts w:ascii="Times New Roman" w:hAnsi="Times New Roman" w:eastAsia="宋体" w:cs="Times New Roman"/>
                <w:bCs/>
                <w:color w:val="000000" w:themeColor="text1"/>
                <w:sz w:val="28"/>
                <w:szCs w:val="28"/>
                <w14:textFill>
                  <w14:solidFill>
                    <w14:schemeClr w14:val="tx1"/>
                  </w14:solidFill>
                </w14:textFill>
              </w:rPr>
              <w:t>理解电离能和电负性概念的基础上，运用相关的原子结构理论，分析并掌握元素的原子半径、第一电离能、电负性</w:t>
            </w:r>
            <w:r>
              <w:rPr>
                <w:rFonts w:hint="eastAsia" w:ascii="华文楷体" w:hAnsi="华文楷体" w:eastAsia="华文楷体" w:cs="华文楷体"/>
                <w:color w:val="000000"/>
                <w:sz w:val="28"/>
                <w:szCs w:val="2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highlight w:val="none"/>
              </w:rPr>
              <w:t>2.</w:t>
            </w:r>
            <w:r>
              <w:rPr>
                <w:rFonts w:hint="eastAsia" w:asciiTheme="minorEastAsia" w:hAnsiTheme="minorEastAsia" w:eastAsiaTheme="minorEastAsia" w:cstheme="minorEastAsia"/>
                <w:color w:val="000000"/>
                <w:sz w:val="28"/>
                <w:szCs w:val="28"/>
                <w:highlight w:val="none"/>
                <w:lang w:val="en-US" w:eastAsia="zh-CN"/>
              </w:rPr>
              <w:t>理解</w:t>
            </w:r>
            <w:r>
              <w:rPr>
                <w:rFonts w:ascii="Times New Roman" w:hAnsi="Times New Roman" w:eastAsia="宋体" w:cs="Times New Roman"/>
                <w:bCs/>
                <w:color w:val="000000" w:themeColor="text1"/>
                <w:sz w:val="28"/>
                <w:szCs w:val="28"/>
                <w14:textFill>
                  <w14:solidFill>
                    <w14:schemeClr w14:val="tx1"/>
                  </w14:solidFill>
                </w14:textFill>
              </w:rPr>
              <w:t>元素主要化合价等元素性质同周期性变化的规律并建立模型</w:t>
            </w:r>
            <w:r>
              <w:rPr>
                <w:rFonts w:hint="eastAsia" w:ascii="华文楷体" w:hAnsi="华文楷体" w:eastAsia="华文楷体" w:cs="华文楷体"/>
                <w:color w:val="000000"/>
                <w:sz w:val="28"/>
                <w:szCs w:val="2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color w:val="000000"/>
                <w:sz w:val="28"/>
                <w:szCs w:val="28"/>
                <w:highlight w:val="none"/>
              </w:rPr>
              <w:t>3.</w:t>
            </w:r>
            <w:r>
              <w:rPr>
                <w:rFonts w:ascii="Times New Roman" w:hAnsi="Times New Roman" w:eastAsia="宋体" w:cs="Times New Roman"/>
                <w:bCs/>
                <w:color w:val="000000" w:themeColor="text1"/>
                <w:sz w:val="28"/>
                <w:szCs w:val="28"/>
                <w14:textFill>
                  <w14:solidFill>
                    <w14:schemeClr w14:val="tx1"/>
                  </w14:solidFill>
                </w14:textFill>
              </w:rPr>
              <w:t>通过原子半径、第一电离能和电负性的数据和规律图示，培养证据推理与模型认知的核心素养</w:t>
            </w:r>
            <w:r>
              <w:rPr>
                <w:rFonts w:hint="eastAsia" w:ascii="华文楷体" w:hAnsi="华文楷体" w:eastAsia="华文楷体" w:cs="华文楷体"/>
                <w:color w:val="000000"/>
                <w:sz w:val="28"/>
                <w:szCs w:val="2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4111"/>
              </w:tabs>
              <w:snapToGrid w:val="0"/>
              <w:spacing w:line="360" w:lineRule="auto"/>
              <w:jc w:val="left"/>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4.</w:t>
            </w:r>
            <w:r>
              <w:rPr>
                <w:rFonts w:ascii="Times New Roman" w:hAnsi="Times New Roman" w:eastAsia="宋体" w:cs="Times New Roman"/>
                <w:bCs/>
                <w:color w:val="000000" w:themeColor="text1"/>
                <w:sz w:val="28"/>
                <w:szCs w:val="28"/>
                <w14:textFill>
                  <w14:solidFill>
                    <w14:schemeClr w14:val="tx1"/>
                  </w14:solidFill>
                </w14:textFill>
              </w:rPr>
              <w:t>了解元素周期律的应用价值</w:t>
            </w:r>
            <w:r>
              <w:rPr>
                <w:rFonts w:hint="eastAsia" w:ascii="华文楷体" w:hAnsi="华文楷体" w:eastAsia="华文楷体" w:cs="华文楷体"/>
                <w:color w:val="000000"/>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学习重点</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华文楷体" w:hAnsi="华文楷体" w:eastAsia="华文楷体" w:cs="华文楷体"/>
                <w:b/>
                <w:bCs/>
                <w:i w:val="0"/>
                <w:iCs w:val="0"/>
                <w:color w:val="000000"/>
                <w:sz w:val="28"/>
                <w:szCs w:val="28"/>
                <w:u w:val="none"/>
              </w:rPr>
            </w:pPr>
            <w:r>
              <w:rPr>
                <w:rFonts w:ascii="Times New Roman" w:hAnsi="Times New Roman" w:eastAsia="宋体" w:cs="Times New Roman"/>
                <w:bCs/>
                <w:color w:val="000000" w:themeColor="text1"/>
                <w:sz w:val="28"/>
                <w:szCs w:val="28"/>
                <w14:textFill>
                  <w14:solidFill>
                    <w14:schemeClr w14:val="tx1"/>
                  </w14:solidFill>
                </w14:textFill>
              </w:rPr>
              <w:t>原子半径、第一电离能、电负性的变化规律</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b/>
                <w:bCs/>
                <w:i w:val="0"/>
                <w:iCs w:val="0"/>
                <w:color w:val="000000"/>
                <w:kern w:val="0"/>
                <w:sz w:val="28"/>
                <w:szCs w:val="28"/>
                <w:u w:val="none"/>
                <w:lang w:val="en-US" w:eastAsia="zh-CN" w:bidi="ar"/>
              </w:rPr>
              <w:t>学习</w:t>
            </w:r>
          </w:p>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b/>
                <w:bCs/>
                <w:i w:val="0"/>
                <w:iCs w:val="0"/>
                <w:color w:val="000000"/>
                <w:kern w:val="0"/>
                <w:sz w:val="28"/>
                <w:szCs w:val="28"/>
                <w:u w:val="none"/>
                <w:lang w:val="en-US" w:eastAsia="zh-CN" w:bidi="ar"/>
              </w:rPr>
              <w:t>难点</w:t>
            </w:r>
          </w:p>
        </w:tc>
        <w:tc>
          <w:tcPr>
            <w:tcW w:w="1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Times New Roman" w:hAnsi="Times New Roman" w:eastAsia="宋体" w:cs="Times New Roman"/>
                <w:bCs/>
                <w:color w:val="000000" w:themeColor="text1"/>
                <w:sz w:val="28"/>
                <w:szCs w:val="28"/>
                <w14:textFill>
                  <w14:solidFill>
                    <w14:schemeClr w14:val="tx1"/>
                  </w14:solidFill>
                </w14:textFill>
              </w:rPr>
            </w:pPr>
            <w:r>
              <w:rPr>
                <w:rFonts w:ascii="Times New Roman" w:hAnsi="Times New Roman" w:eastAsia="宋体" w:cs="Times New Roman"/>
                <w:bCs/>
                <w:color w:val="000000" w:themeColor="text1"/>
                <w:sz w:val="28"/>
                <w:szCs w:val="28"/>
                <w14:textFill>
                  <w14:solidFill>
                    <w14:schemeClr w14:val="tx1"/>
                  </w14:solidFill>
                </w14:textFill>
              </w:rPr>
              <w:t>原子半径、第一电离能、电负性的变化规律</w:t>
            </w:r>
          </w:p>
          <w:p>
            <w:pPr>
              <w:keepNext w:val="0"/>
              <w:keepLines w:val="0"/>
              <w:pageBreakBefore w:val="0"/>
              <w:kinsoku/>
              <w:wordWrap/>
              <w:overflowPunct/>
              <w:topLinePunct w:val="0"/>
              <w:bidi w:val="0"/>
              <w:adjustRightInd w:val="0"/>
              <w:snapToGrid w:val="0"/>
              <w:spacing w:line="300" w:lineRule="auto"/>
              <w:ind w:right="0" w:rightChars="0" w:firstLine="560" w:firstLineChars="200"/>
              <w:rPr>
                <w:rFonts w:hint="eastAsia" w:ascii="华文楷体" w:hAnsi="华文楷体" w:eastAsia="华文楷体" w:cs="华文楷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课时目标</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rPr>
              <w:t>1.</w:t>
            </w:r>
            <w:r>
              <w:rPr>
                <w:rFonts w:ascii="Times New Roman" w:hAnsi="Times New Roman" w:eastAsia="宋体" w:cs="Times New Roman"/>
                <w:bCs/>
                <w:color w:val="000000" w:themeColor="text1"/>
                <w:sz w:val="28"/>
                <w:szCs w:val="28"/>
                <w14:textFill>
                  <w14:solidFill>
                    <w14:schemeClr w14:val="tx1"/>
                  </w14:solidFill>
                </w14:textFill>
              </w:rPr>
              <w:t>运用相关的原子结构理论，分析并掌握元素的原子半径、第一电离能、电负性</w:t>
            </w:r>
            <w:r>
              <w:rPr>
                <w:rFonts w:hint="eastAsia" w:ascii="华文楷体" w:hAnsi="华文楷体" w:eastAsia="华文楷体" w:cs="华文楷体"/>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rPr>
              <w:t>2.</w:t>
            </w:r>
            <w:r>
              <w:rPr>
                <w:rFonts w:hint="eastAsia" w:asciiTheme="minorEastAsia" w:hAnsiTheme="minorEastAsia" w:eastAsiaTheme="minorEastAsia" w:cstheme="minorEastAsia"/>
                <w:color w:val="000000"/>
                <w:sz w:val="28"/>
                <w:szCs w:val="28"/>
                <w:highlight w:val="none"/>
                <w:lang w:val="en-US" w:eastAsia="zh-CN"/>
              </w:rPr>
              <w:t>理解</w:t>
            </w:r>
            <w:r>
              <w:rPr>
                <w:rFonts w:ascii="Times New Roman" w:hAnsi="Times New Roman" w:eastAsia="宋体" w:cs="Times New Roman"/>
                <w:bCs/>
                <w:color w:val="000000" w:themeColor="text1"/>
                <w:sz w:val="28"/>
                <w:szCs w:val="28"/>
                <w14:textFill>
                  <w14:solidFill>
                    <w14:schemeClr w14:val="tx1"/>
                  </w14:solidFill>
                </w14:textFill>
              </w:rPr>
              <w:t>元素主要化合价等元素性质同周期性变化的规律并建立模型</w:t>
            </w:r>
            <w:r>
              <w:rPr>
                <w:rFonts w:hint="eastAsia" w:ascii="华文楷体" w:hAnsi="华文楷体" w:eastAsia="华文楷体" w:cs="华文楷体"/>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color w:val="000000"/>
                <w:sz w:val="28"/>
                <w:szCs w:val="28"/>
              </w:rPr>
              <w:t>3.</w:t>
            </w:r>
            <w:r>
              <w:rPr>
                <w:rFonts w:ascii="Times New Roman" w:hAnsi="Times New Roman" w:eastAsia="宋体" w:cs="Times New Roman"/>
                <w:bCs/>
                <w:color w:val="000000" w:themeColor="text1"/>
                <w:sz w:val="28"/>
                <w:szCs w:val="28"/>
                <w14:textFill>
                  <w14:solidFill>
                    <w14:schemeClr w14:val="tx1"/>
                  </w14:solidFill>
                </w14:textFill>
              </w:rPr>
              <w:t>通过原子半径、第一电离能和电负性的数据和规律图示，培养证据推理与模型认知的核心素养</w:t>
            </w:r>
            <w:r>
              <w:rPr>
                <w:rFonts w:hint="eastAsia" w:ascii="华文楷体" w:hAnsi="华文楷体" w:eastAsia="华文楷体" w:cs="华文楷体"/>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4.</w:t>
            </w:r>
            <w:r>
              <w:rPr>
                <w:rFonts w:hint="eastAsia" w:asciiTheme="minorEastAsia" w:hAnsiTheme="minorEastAsia" w:eastAsiaTheme="minorEastAsia" w:cstheme="minorEastAsia"/>
                <w:color w:val="000000"/>
                <w:sz w:val="28"/>
                <w:szCs w:val="28"/>
                <w:highlight w:val="none"/>
              </w:rPr>
              <w:t>诊断并发展学生的分析推理能力</w:t>
            </w:r>
            <w:r>
              <w:rPr>
                <w:rFonts w:hint="eastAsia" w:ascii="华文楷体" w:hAnsi="华文楷体" w:eastAsia="华文楷体" w:cs="华文楷体"/>
                <w:sz w:val="28"/>
                <w:szCs w:val="2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核心问题</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华文楷体" w:hAnsi="华文楷体" w:eastAsia="华文楷体" w:cs="华文楷体"/>
                <w:b/>
                <w:bCs/>
                <w:i w:val="0"/>
                <w:iCs w:val="0"/>
                <w:color w:val="000000"/>
                <w:sz w:val="28"/>
                <w:szCs w:val="28"/>
                <w:u w:val="none"/>
              </w:rPr>
            </w:pPr>
            <w:r>
              <w:rPr>
                <w:rFonts w:ascii="Times New Roman" w:hAnsi="Times New Roman" w:eastAsia="宋体" w:cs="Times New Roman"/>
                <w:bCs/>
                <w:color w:val="000000" w:themeColor="text1"/>
                <w:sz w:val="28"/>
                <w:szCs w:val="28"/>
                <w14:textFill>
                  <w14:solidFill>
                    <w14:schemeClr w14:val="tx1"/>
                  </w14:solidFill>
                </w14:textFill>
              </w:rPr>
              <w:t>培养宏观辨析与微观探析的核心素养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36"/>
                <w:szCs w:val="36"/>
                <w:u w:val="none"/>
              </w:rPr>
            </w:pPr>
            <w:r>
              <w:rPr>
                <w:rFonts w:hint="default" w:ascii="华文楷体" w:hAnsi="华文楷体" w:eastAsia="华文楷体" w:cs="华文楷体"/>
                <w:b/>
                <w:bCs/>
                <w:i w:val="0"/>
                <w:iCs w:val="0"/>
                <w:color w:val="000000"/>
                <w:kern w:val="0"/>
                <w:sz w:val="36"/>
                <w:szCs w:val="36"/>
                <w:u w:val="none"/>
                <w:lang w:val="en-US" w:eastAsia="zh-CN" w:bidi="ar"/>
              </w:rPr>
              <w:t>教学过程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学习内容</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教师活动</w:t>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学生活动</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任务一：</w:t>
            </w:r>
            <w:r>
              <w:rPr>
                <w:rFonts w:hint="eastAsia" w:ascii="华文楷体" w:hAnsi="华文楷体" w:eastAsia="华文楷体" w:cs="华文楷体"/>
                <w:sz w:val="28"/>
                <w:szCs w:val="28"/>
              </w:rPr>
              <w:t>温故知新</w:t>
            </w:r>
          </w:p>
        </w:tc>
        <w:tc>
          <w:tcPr>
            <w:tcW w:w="22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【导入新课】</w:t>
            </w:r>
          </w:p>
          <w:p>
            <w:pPr>
              <w:pStyle w:val="3"/>
              <w:widowControl/>
              <w:adjustRightInd w:val="0"/>
              <w:snapToGrid w:val="0"/>
              <w:spacing w:before="0" w:beforeAutospacing="0" w:after="0" w:afterAutospacing="0" w:line="360" w:lineRule="auto"/>
              <w:rPr>
                <w:rFonts w:hint="default" w:ascii="华文楷体" w:hAnsi="华文楷体" w:eastAsia="华文楷体" w:cs="华文楷体"/>
                <w:b/>
                <w:bCs/>
                <w:i w:val="0"/>
                <w:iCs w:val="0"/>
                <w:color w:val="000000"/>
                <w:sz w:val="22"/>
                <w:szCs w:val="22"/>
                <w:u w:val="none"/>
                <w:lang w:val="en-US"/>
              </w:rPr>
            </w:pPr>
            <w:r>
              <w:rPr>
                <w:rFonts w:ascii="Times New Roman" w:hAnsi="Times New Roman" w:eastAsia="宋体" w:cs="Times New Roman"/>
                <w:bCs/>
                <w:color w:val="000000" w:themeColor="text1"/>
                <w:sz w:val="28"/>
                <w:szCs w:val="28"/>
                <w14:textFill>
                  <w14:solidFill>
                    <w14:schemeClr w14:val="tx1"/>
                  </w14:solidFill>
                </w14:textFill>
              </w:rPr>
              <w:t>上节学习过的元素周期表的排列规律——分类和有序排列，我们就可以知道这些元素之间存在着一定的规律，而且我们知道了同主族元素的变化规律，在这基础上，再来探讨原子半径、电负性、第一电离能有什么样的变化规律呢？这就是我们今天所要探讨的内容——元素周期律。</w:t>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sz w:val="28"/>
                <w:szCs w:val="28"/>
              </w:rPr>
              <w:t>回顾已学知识</w:t>
            </w: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提高学生利用好已有知识学习新知识‘温故而知新‘的能力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adjustRightInd w:val="0"/>
              <w:snapToGrid w:val="0"/>
              <w:spacing w:before="0" w:beforeAutospacing="0" w:after="0" w:afterAutospacing="0" w:line="360" w:lineRule="auto"/>
              <w:rPr>
                <w:rFonts w:ascii="Times New Roman" w:hAnsi="Times New Roman" w:eastAsia="宋体" w:cs="Times New Roman"/>
                <w:bCs/>
                <w:color w:val="000000" w:themeColor="text1"/>
                <w:sz w:val="28"/>
                <w:szCs w:val="28"/>
                <w14:textFill>
                  <w14:solidFill>
                    <w14:schemeClr w14:val="tx1"/>
                  </w14:solidFill>
                </w14:textFill>
              </w:rPr>
            </w:pPr>
            <w:r>
              <w:rPr>
                <w:rFonts w:hint="default" w:ascii="华文楷体" w:hAnsi="华文楷体" w:eastAsia="华文楷体" w:cs="华文楷体"/>
                <w:b/>
                <w:bCs/>
                <w:i w:val="0"/>
                <w:iCs w:val="0"/>
                <w:color w:val="000000"/>
                <w:kern w:val="0"/>
                <w:sz w:val="22"/>
                <w:szCs w:val="22"/>
                <w:u w:val="none"/>
                <w:lang w:val="en-US" w:eastAsia="zh-CN" w:bidi="ar"/>
              </w:rPr>
              <w:t>任务二：</w:t>
            </w:r>
            <w:r>
              <w:rPr>
                <w:rFonts w:ascii="Times New Roman" w:hAnsi="Times New Roman" w:eastAsia="宋体" w:cs="Times New Roman"/>
                <w:bCs/>
                <w:color w:val="000000" w:themeColor="text1"/>
                <w:sz w:val="28"/>
                <w:szCs w:val="28"/>
                <w14:textFill>
                  <w14:solidFill>
                    <w14:schemeClr w14:val="tx1"/>
                  </w14:solidFill>
                </w14:textFill>
              </w:rPr>
              <w:t>元素周期律</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lang w:val="en-US"/>
              </w:rPr>
            </w:pPr>
          </w:p>
        </w:tc>
        <w:tc>
          <w:tcPr>
            <w:tcW w:w="22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adjustRightInd w:val="0"/>
              <w:snapToGrid w:val="0"/>
              <w:spacing w:before="0" w:beforeAutospacing="0" w:after="0" w:afterAutospacing="0" w:line="360" w:lineRule="auto"/>
              <w:rPr>
                <w:rFonts w:ascii="Times New Roman" w:hAnsi="Times New Roman" w:eastAsia="宋体" w:cs="Times New Roman"/>
                <w:bCs/>
                <w:color w:val="000000" w:themeColor="text1"/>
                <w:sz w:val="28"/>
                <w:szCs w:val="28"/>
                <w14:textFill>
                  <w14:solidFill>
                    <w14:schemeClr w14:val="tx1"/>
                  </w14:solidFill>
                </w14:textFill>
              </w:rPr>
            </w:pPr>
            <w:r>
              <w:rPr>
                <w:rFonts w:ascii="Times New Roman" w:hAnsi="Times New Roman" w:eastAsia="宋体" w:cs="Times New Roman"/>
                <w:bCs/>
                <w:color w:val="000000" w:themeColor="text1"/>
                <w:sz w:val="28"/>
                <w:szCs w:val="28"/>
                <w14:textFill>
                  <w14:solidFill>
                    <w14:schemeClr w14:val="tx1"/>
                  </w14:solidFill>
                </w14:textFill>
              </w:rPr>
              <w:t>元素周期律：元素的性质随原子的核电荷数递增发生周期性递变</w:t>
            </w:r>
          </w:p>
          <w:p>
            <w:pPr>
              <w:pStyle w:val="10"/>
              <w:adjustRightInd w:val="0"/>
              <w:snapToGrid w:val="0"/>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【过渡】元素性质的周期性变化是元素原子的核外电子排布周期性变化的必然结果，下面我们先来讨论原子半径的周期性变化。</w:t>
            </w:r>
          </w:p>
          <w:p>
            <w:pPr>
              <w:pStyle w:val="10"/>
              <w:adjustRightInd w:val="0"/>
              <w:snapToGrid w:val="0"/>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【展示】展示常见原子的半径。</w:t>
            </w:r>
          </w:p>
          <w:p>
            <w:pPr>
              <w:pStyle w:val="10"/>
              <w:adjustRightInd w:val="0"/>
              <w:snapToGrid w:val="0"/>
              <w:spacing w:line="360" w:lineRule="auto"/>
              <w:jc w:val="center"/>
              <w:rPr>
                <w:rFonts w:hint="default" w:ascii="华文楷体" w:hAnsi="华文楷体" w:eastAsia="华文楷体" w:cs="华文楷体"/>
                <w:b/>
                <w:bCs/>
                <w:i w:val="0"/>
                <w:iCs w:val="0"/>
                <w:color w:val="000000"/>
                <w:sz w:val="22"/>
                <w:szCs w:val="22"/>
                <w:u w:val="none"/>
                <w:lang w:val="en-US"/>
              </w:rPr>
            </w:pPr>
            <w:r>
              <w:rPr>
                <w:rFonts w:ascii="Times New Roman" w:hAnsi="Times New Roman"/>
                <w:bCs/>
                <w:color w:val="000000" w:themeColor="text1"/>
                <w:sz w:val="28"/>
                <w:szCs w:val="28"/>
                <w14:textFill>
                  <w14:solidFill>
                    <w14:schemeClr w14:val="tx1"/>
                  </w14:solidFill>
                </w14:textFill>
              </w:rPr>
              <w:drawing>
                <wp:inline distT="0" distB="0" distL="0" distR="0">
                  <wp:extent cx="3489325" cy="3058795"/>
                  <wp:effectExtent l="0" t="0" r="14605" b="158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rot="5400000">
                            <a:off x="0" y="0"/>
                            <a:ext cx="3493296" cy="3058795"/>
                          </a:xfrm>
                          <a:prstGeom prst="rect">
                            <a:avLst/>
                          </a:prstGeom>
                          <a:ln>
                            <a:noFill/>
                          </a:ln>
                        </pic:spPr>
                      </pic:pic>
                    </a:graphicData>
                  </a:graphic>
                </wp:inline>
              </w:drawing>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adjustRightInd w:val="0"/>
              <w:snapToGrid w:val="0"/>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【思考与讨论】</w:t>
            </w:r>
          </w:p>
          <w:p>
            <w:pPr>
              <w:pStyle w:val="10"/>
              <w:numPr>
                <w:ilvl w:val="0"/>
                <w:numId w:val="1"/>
              </w:numPr>
              <w:adjustRightInd w:val="0"/>
              <w:snapToGrid w:val="0"/>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原子半径的大小取决于什么？</w:t>
            </w:r>
          </w:p>
          <w:p>
            <w:pPr>
              <w:pStyle w:val="10"/>
              <w:numPr>
                <w:ilvl w:val="0"/>
                <w:numId w:val="1"/>
              </w:numPr>
              <w:adjustRightInd w:val="0"/>
              <w:snapToGrid w:val="0"/>
              <w:spacing w:line="360" w:lineRule="auto"/>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元素周期表中同周期主族元素从左往右，原子半径的变化趋势如何？如何解释这一趋势？</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r>
              <w:rPr>
                <w:rFonts w:hint="eastAsia" w:asciiTheme="minorEastAsia" w:hAnsiTheme="minorEastAsia" w:eastAsiaTheme="minorEastAsia" w:cstheme="minorEastAsia"/>
                <w:sz w:val="28"/>
                <w:szCs w:val="28"/>
              </w:rPr>
              <w:t>通过观察，思考，解决问题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kern w:val="0"/>
                <w:sz w:val="22"/>
                <w:szCs w:val="22"/>
                <w:u w:val="none"/>
                <w:lang w:val="en-US" w:eastAsia="zh-CN" w:bidi="ar"/>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三</w:t>
            </w:r>
            <w:r>
              <w:rPr>
                <w:rFonts w:hint="default" w:ascii="华文楷体" w:hAnsi="华文楷体" w:eastAsia="华文楷体" w:cs="华文楷体"/>
                <w:b/>
                <w:bCs/>
                <w:i w:val="0"/>
                <w:iCs w:val="0"/>
                <w:color w:val="000000"/>
                <w:kern w:val="0"/>
                <w:sz w:val="22"/>
                <w:szCs w:val="22"/>
                <w:u w:val="none"/>
                <w:lang w:val="en-US" w:eastAsia="zh-CN" w:bidi="ar"/>
              </w:rPr>
              <w:t>：</w:t>
            </w:r>
            <w:r>
              <w:rPr>
                <w:rFonts w:ascii="Times New Roman" w:hAnsi="Times New Roman" w:cs="Times New Roman"/>
                <w:bCs/>
                <w:color w:val="000000" w:themeColor="text1"/>
                <w:sz w:val="28"/>
                <w:szCs w:val="28"/>
                <w14:textFill>
                  <w14:solidFill>
                    <w14:schemeClr w14:val="tx1"/>
                  </w14:solidFill>
                </w14:textFill>
              </w:rPr>
              <w:t>电离能</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【讲解】</w:t>
            </w:r>
          </w:p>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第一电离能：</w:t>
            </w:r>
            <w:bookmarkStart w:id="0" w:name="_Hlk64148776"/>
            <w:r>
              <w:rPr>
                <w:rFonts w:ascii="Times New Roman" w:hAnsi="Times New Roman" w:cs="Times New Roman"/>
                <w:bCs/>
                <w:color w:val="000000" w:themeColor="text1"/>
                <w:sz w:val="28"/>
                <w:szCs w:val="28"/>
                <w14:textFill>
                  <w14:solidFill>
                    <w14:schemeClr w14:val="tx1"/>
                  </w14:solidFill>
                </w14:textFill>
              </w:rPr>
              <w:t>气态电中性基态原子失去一个电子转化为气态基态正离子所需的最低能量，叫第一电离能。通常用I</w:t>
            </w:r>
            <w:r>
              <w:rPr>
                <w:rFonts w:ascii="Times New Roman" w:hAnsi="Times New Roman" w:cs="Times New Roman"/>
                <w:bCs/>
                <w:color w:val="000000" w:themeColor="text1"/>
                <w:sz w:val="28"/>
                <w:szCs w:val="28"/>
                <w:vertAlign w:val="subscript"/>
                <w14:textFill>
                  <w14:solidFill>
                    <w14:schemeClr w14:val="tx1"/>
                  </w14:solidFill>
                </w14:textFill>
              </w:rPr>
              <w:t>1</w:t>
            </w:r>
            <w:r>
              <w:rPr>
                <w:rFonts w:ascii="Times New Roman" w:hAnsi="Times New Roman" w:cs="Times New Roman"/>
                <w:bCs/>
                <w:color w:val="000000" w:themeColor="text1"/>
                <w:sz w:val="28"/>
                <w:szCs w:val="28"/>
                <w14:textFill>
                  <w14:solidFill>
                    <w14:schemeClr w14:val="tx1"/>
                  </w14:solidFill>
                </w14:textFill>
              </w:rPr>
              <w:t>表示。</w:t>
            </w:r>
          </w:p>
          <w:bookmarkEnd w:id="0"/>
          <w:p>
            <w:pPr>
              <w:pStyle w:val="2"/>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【展示】常见原子的第一电离能。</w:t>
            </w:r>
          </w:p>
          <w:p>
            <w:pPr>
              <w:jc w:val="left"/>
              <w:rPr>
                <w:rFonts w:hint="default" w:ascii="华文楷体" w:hAnsi="华文楷体" w:eastAsia="华文楷体" w:cs="华文楷体"/>
                <w:b/>
                <w:bCs/>
                <w:i w:val="0"/>
                <w:iCs w:val="0"/>
                <w:color w:val="000000"/>
                <w:kern w:val="0"/>
                <w:sz w:val="22"/>
                <w:szCs w:val="22"/>
                <w:u w:val="none"/>
                <w:lang w:val="en-US" w:eastAsia="zh-CN" w:bidi="ar"/>
              </w:rPr>
            </w:pPr>
            <w:r>
              <w:rPr>
                <w:rFonts w:ascii="Times New Roman" w:hAnsi="Times New Roman" w:cs="Times New Roman"/>
                <w:bCs/>
                <w:color w:val="000000" w:themeColor="text1"/>
                <w:sz w:val="28"/>
                <w:szCs w:val="28"/>
                <w14:textFill>
                  <w14:solidFill>
                    <w14:schemeClr w14:val="tx1"/>
                  </w14:solidFill>
                </w14:textFill>
              </w:rPr>
              <w:drawing>
                <wp:inline distT="0" distB="0" distL="0" distR="0">
                  <wp:extent cx="3065145" cy="1965960"/>
                  <wp:effectExtent l="0" t="0" r="8255" b="1524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cstate="print">
                            <a:extLst>
                              <a:ext uri="{28A0092B-C50C-407E-A947-70E740481C1C}">
                                <a14:useLocalDpi xmlns:a14="http://schemas.microsoft.com/office/drawing/2010/main" val="0"/>
                              </a:ext>
                            </a:extLst>
                          </a:blip>
                          <a:srcRect r="-784"/>
                          <a:stretch>
                            <a:fillRect/>
                          </a:stretch>
                        </pic:blipFill>
                        <pic:spPr>
                          <a:xfrm>
                            <a:off x="0" y="0"/>
                            <a:ext cx="3069981" cy="1968851"/>
                          </a:xfrm>
                          <a:prstGeom prst="rect">
                            <a:avLst/>
                          </a:prstGeom>
                          <a:ln>
                            <a:noFill/>
                          </a:ln>
                        </pic:spPr>
                      </pic:pic>
                    </a:graphicData>
                  </a:graphic>
                </wp:inline>
              </w:drawing>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612"/>
              </w:tabs>
              <w:spacing w:line="360" w:lineRule="auto"/>
              <w:rPr>
                <w:rFonts w:ascii="Times New Roman" w:hAnsi="Times New Roman" w:cs="Times New Roman"/>
                <w:bCs/>
                <w:color w:val="000000" w:themeColor="text1"/>
                <w:sz w:val="28"/>
                <w:szCs w:val="28"/>
                <w14:textFill>
                  <w14:solidFill>
                    <w14:schemeClr w14:val="tx1"/>
                  </w14:solidFill>
                </w14:textFill>
              </w:rPr>
            </w:pPr>
          </w:p>
          <w:p>
            <w:pPr>
              <w:pStyle w:val="2"/>
              <w:tabs>
                <w:tab w:val="left" w:pos="612"/>
              </w:tabs>
              <w:spacing w:line="360" w:lineRule="auto"/>
              <w:rPr>
                <w:rFonts w:ascii="Times New Roman" w:hAnsi="Times New Roman" w:cs="Times New Roman"/>
                <w:bCs/>
                <w:color w:val="000000" w:themeColor="text1"/>
                <w:sz w:val="28"/>
                <w:szCs w:val="28"/>
                <w14:textFill>
                  <w14:solidFill>
                    <w14:schemeClr w14:val="tx1"/>
                  </w14:solidFill>
                </w14:textFill>
              </w:rPr>
            </w:pPr>
          </w:p>
          <w:p>
            <w:pPr>
              <w:pStyle w:val="2"/>
              <w:tabs>
                <w:tab w:val="left" w:pos="612"/>
              </w:tabs>
              <w:spacing w:line="360" w:lineRule="auto"/>
              <w:rPr>
                <w:rFonts w:ascii="Times New Roman" w:hAnsi="Times New Roman" w:cs="Times New Roman"/>
                <w:bCs/>
                <w:color w:val="000000" w:themeColor="text1"/>
                <w:sz w:val="28"/>
                <w:szCs w:val="28"/>
                <w14:textFill>
                  <w14:solidFill>
                    <w14:schemeClr w14:val="tx1"/>
                  </w14:solidFill>
                </w14:textFill>
              </w:rPr>
            </w:pPr>
          </w:p>
          <w:p>
            <w:pPr>
              <w:pStyle w:val="2"/>
              <w:tabs>
                <w:tab w:val="left" w:pos="612"/>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分析并解释同周期元素第一电离能的变化趋势，同主族元素第一电离能的变化趋势。</w:t>
            </w:r>
          </w:p>
          <w:p>
            <w:pPr>
              <w:jc w:val="both"/>
              <w:rPr>
                <w:rFonts w:hint="default" w:ascii="华文楷体" w:hAnsi="华文楷体" w:eastAsia="华文楷体" w:cs="华文楷体"/>
                <w:sz w:val="28"/>
                <w:szCs w:val="28"/>
                <w:lang w:val="en-US" w:eastAsia="zh-CN"/>
              </w:rPr>
            </w:pPr>
            <w:bookmarkStart w:id="1" w:name="_GoBack"/>
            <w:bookmarkEnd w:id="1"/>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auto"/>
              <w:rPr>
                <w:rFonts w:hint="eastAsia" w:asciiTheme="minorEastAsia" w:hAnsiTheme="minorEastAsia" w:eastAsiaTheme="minorEastAsia" w:cstheme="minorEastAsia"/>
                <w:sz w:val="28"/>
                <w:szCs w:val="28"/>
              </w:rPr>
            </w:pPr>
          </w:p>
          <w:p>
            <w:pPr>
              <w:spacing w:line="300" w:lineRule="auto"/>
              <w:rPr>
                <w:rFonts w:hint="eastAsia" w:asciiTheme="minorEastAsia" w:hAnsiTheme="minorEastAsia" w:eastAsiaTheme="minorEastAsia" w:cstheme="minorEastAsia"/>
                <w:sz w:val="28"/>
                <w:szCs w:val="28"/>
              </w:rPr>
            </w:pPr>
          </w:p>
          <w:p>
            <w:pPr>
              <w:spacing w:line="300" w:lineRule="auto"/>
              <w:rPr>
                <w:rFonts w:hint="eastAsia" w:asciiTheme="minorEastAsia" w:hAnsiTheme="minorEastAsia" w:eastAsiaTheme="minorEastAsia" w:cstheme="minorEastAsia"/>
                <w:sz w:val="28"/>
                <w:szCs w:val="28"/>
              </w:rPr>
            </w:pPr>
          </w:p>
          <w:p>
            <w:pPr>
              <w:spacing w:line="300" w:lineRule="auto"/>
              <w:rPr>
                <w:rFonts w:hint="eastAsia" w:asciiTheme="minorEastAsia" w:hAnsiTheme="minorEastAsia" w:eastAsiaTheme="minorEastAsia" w:cstheme="minorEastAsia"/>
                <w:sz w:val="28"/>
                <w:szCs w:val="28"/>
              </w:rPr>
            </w:pPr>
          </w:p>
          <w:p>
            <w:pPr>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揭示本质，培养分析问题能力</w:t>
            </w:r>
          </w:p>
          <w:p>
            <w:pPr>
              <w:spacing w:line="300" w:lineRule="auto"/>
              <w:rPr>
                <w:rFonts w:hint="eastAsia" w:asciiTheme="minorEastAsia" w:hAnsiTheme="minorEastAsia" w:eastAsiaTheme="minorEastAsia" w:cstheme="minorEastAsia"/>
                <w:sz w:val="28"/>
                <w:szCs w:val="28"/>
              </w:rPr>
            </w:pPr>
          </w:p>
          <w:p>
            <w:pPr>
              <w:spacing w:line="300" w:lineRule="auto"/>
            </w:pPr>
          </w:p>
          <w:p>
            <w:pPr>
              <w:jc w:val="center"/>
              <w:rPr>
                <w:rFonts w:hint="default" w:ascii="华文楷体" w:hAnsi="华文楷体" w:eastAsia="华文楷体" w:cs="华文楷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四</w:t>
            </w:r>
            <w:r>
              <w:rPr>
                <w:rFonts w:hint="default" w:ascii="华文楷体" w:hAnsi="华文楷体" w:eastAsia="华文楷体" w:cs="华文楷体"/>
                <w:b/>
                <w:bCs/>
                <w:i w:val="0"/>
                <w:iCs w:val="0"/>
                <w:color w:val="000000"/>
                <w:kern w:val="0"/>
                <w:sz w:val="22"/>
                <w:szCs w:val="22"/>
                <w:u w:val="none"/>
                <w:lang w:val="en-US" w:eastAsia="zh-CN" w:bidi="ar"/>
              </w:rPr>
              <w:t>：</w:t>
            </w:r>
            <w:r>
              <w:rPr>
                <w:rFonts w:ascii="Times New Roman" w:hAnsi="Times New Roman" w:cs="Times New Roman"/>
                <w:bCs/>
                <w:color w:val="000000" w:themeColor="text1"/>
                <w:sz w:val="28"/>
                <w:szCs w:val="28"/>
                <w14:textFill>
                  <w14:solidFill>
                    <w14:schemeClr w14:val="tx1"/>
                  </w14:solidFill>
                </w14:textFill>
              </w:rPr>
              <w:t>电负性</w:t>
            </w:r>
          </w:p>
        </w:tc>
        <w:tc>
          <w:tcPr>
            <w:tcW w:w="22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【概念辨析】</w:t>
            </w:r>
          </w:p>
          <w:p>
            <w:pPr>
              <w:pStyle w:val="2"/>
              <w:spacing w:line="360" w:lineRule="auto"/>
              <w:rPr>
                <w:rFonts w:ascii="Times New Roman" w:hAnsi="Times New Roman" w:cs="Times New Roman"/>
                <w:bCs/>
                <w:color w:val="000000" w:themeColor="text1"/>
                <w:sz w:val="28"/>
                <w:szCs w:val="28"/>
                <w14:textFill>
                  <w14:solidFill>
                    <w14:schemeClr w14:val="tx1"/>
                  </w14:solidFill>
                </w14:textFill>
              </w:rPr>
            </w:pPr>
            <w:r>
              <w:rPr>
                <w:rFonts w:hint="eastAsia" w:hAnsi="宋体" w:cs="宋体"/>
                <w:bCs/>
                <w:color w:val="000000" w:themeColor="text1"/>
                <w:sz w:val="28"/>
                <w:szCs w:val="28"/>
                <w14:textFill>
                  <w14:solidFill>
                    <w14:schemeClr w14:val="tx1"/>
                  </w14:solidFill>
                </w14:textFill>
              </w:rPr>
              <w:t>①</w:t>
            </w:r>
            <w:r>
              <w:rPr>
                <w:rFonts w:ascii="Times New Roman" w:hAnsi="Times New Roman" w:cs="Times New Roman"/>
                <w:bCs/>
                <w:color w:val="000000" w:themeColor="text1"/>
                <w:sz w:val="28"/>
                <w:szCs w:val="28"/>
                <w14:textFill>
                  <w14:solidFill>
                    <w14:schemeClr w14:val="tx1"/>
                  </w14:solidFill>
                </w14:textFill>
              </w:rPr>
              <w:t>键合电子：原子中用于形成化学键的电子。</w:t>
            </w:r>
          </w:p>
          <w:p>
            <w:pPr>
              <w:pStyle w:val="2"/>
              <w:spacing w:line="360" w:lineRule="auto"/>
              <w:rPr>
                <w:rFonts w:ascii="Times New Roman" w:hAnsi="Times New Roman" w:cs="Times New Roman"/>
                <w:bCs/>
                <w:color w:val="000000" w:themeColor="text1"/>
                <w:sz w:val="28"/>
                <w:szCs w:val="28"/>
                <w14:textFill>
                  <w14:solidFill>
                    <w14:schemeClr w14:val="tx1"/>
                  </w14:solidFill>
                </w14:textFill>
              </w:rPr>
            </w:pPr>
            <w:r>
              <w:rPr>
                <w:rFonts w:hint="eastAsia" w:hAnsi="宋体" w:cs="宋体"/>
                <w:bCs/>
                <w:color w:val="000000" w:themeColor="text1"/>
                <w:sz w:val="28"/>
                <w:szCs w:val="28"/>
                <w14:textFill>
                  <w14:solidFill>
                    <w14:schemeClr w14:val="tx1"/>
                  </w14:solidFill>
                </w14:textFill>
              </w:rPr>
              <w:t>②</w:t>
            </w:r>
            <w:r>
              <w:rPr>
                <w:rFonts w:ascii="Times New Roman" w:hAnsi="Times New Roman" w:cs="Times New Roman"/>
                <w:bCs/>
                <w:color w:val="000000" w:themeColor="text1"/>
                <w:sz w:val="28"/>
                <w:szCs w:val="28"/>
                <w14:textFill>
                  <w14:solidFill>
                    <w14:schemeClr w14:val="tx1"/>
                  </w14:solidFill>
                </w14:textFill>
              </w:rPr>
              <w:t>电负性：用来描述不同元素的原子对键合电子吸引力的大小。电负性越大的原子，对键合电子的吸引力越大。</w:t>
            </w:r>
          </w:p>
          <w:p>
            <w:pPr>
              <w:pStyle w:val="2"/>
              <w:numPr>
                <w:numId w:val="0"/>
              </w:numPr>
              <w:spacing w:line="360" w:lineRule="auto"/>
              <w:ind w:leftChars="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标准：以氟的电负性为4.0和锂的电负性为1.0作为相对标准，得出各元素的电负性（稀有气体未计）。</w:t>
            </w:r>
          </w:p>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【展示】展示元素电负性</w:t>
            </w:r>
          </w:p>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drawing>
                <wp:inline distT="0" distB="0" distL="0" distR="0">
                  <wp:extent cx="2359025" cy="3256915"/>
                  <wp:effectExtent l="0" t="0" r="19685" b="3175"/>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359025" cy="3256915"/>
                          </a:xfrm>
                          <a:prstGeom prst="rect">
                            <a:avLst/>
                          </a:prstGeom>
                        </pic:spPr>
                      </pic:pic>
                    </a:graphicData>
                  </a:graphic>
                </wp:inline>
              </w:drawing>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2127"/>
                <w:tab w:val="left" w:pos="4253"/>
                <w:tab w:val="left" w:pos="6379"/>
              </w:tabs>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结合课本p26的探究，分析同周期、同主族元素电负性变化规律 </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培养归纳</w:t>
            </w:r>
          </w:p>
          <w:p>
            <w:pPr>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抽象能力</w:t>
            </w:r>
          </w:p>
          <w:p>
            <w:pPr>
              <w:keepNext w:val="0"/>
              <w:keepLines w:val="0"/>
              <w:widowControl/>
              <w:suppressLineNumbers w:val="0"/>
              <w:jc w:val="both"/>
              <w:textAlignment w:val="center"/>
              <w:rPr>
                <w:rFonts w:hint="default" w:ascii="华文楷体" w:hAnsi="华文楷体" w:eastAsia="华文楷体" w:cs="华文楷体"/>
                <w:b/>
                <w:bCs/>
                <w:i w:val="0"/>
                <w:iCs w:val="0"/>
                <w:color w:val="000000"/>
                <w:sz w:val="22"/>
                <w:szCs w:val="22"/>
                <w:u w:val="none"/>
              </w:rPr>
            </w:pPr>
            <w:r>
              <w:rPr>
                <w:rFonts w:hint="eastAsia" w:asciiTheme="minorEastAsia" w:hAnsiTheme="minorEastAsia" w:eastAsiaTheme="minorEastAsia" w:cstheme="minorEastAsia"/>
                <w:sz w:val="28"/>
                <w:szCs w:val="28"/>
              </w:rPr>
              <w:t>巩固提高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作业设计</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课时作业2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板书</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w:t>
            </w:r>
          </w:p>
        </w:tc>
        <w:tc>
          <w:tcPr>
            <w:tcW w:w="4596" w:type="pct"/>
            <w:gridSpan w:val="4"/>
            <w:tcBorders>
              <w:top w:val="nil"/>
              <w:left w:val="single" w:color="000000" w:sz="4" w:space="0"/>
              <w:bottom w:val="single" w:color="000000" w:sz="4" w:space="0"/>
              <w:right w:val="single" w:color="000000" w:sz="4" w:space="0"/>
            </w:tcBorders>
            <w:shd w:val="clear" w:color="auto" w:fill="auto"/>
            <w:noWrap/>
            <w:vAlign w:val="center"/>
          </w:tcPr>
          <w:p>
            <w:pPr>
              <w:pStyle w:val="2"/>
              <w:tabs>
                <w:tab w:val="left" w:pos="4111"/>
              </w:tabs>
              <w:snapToGrid w:val="0"/>
              <w:spacing w:line="360" w:lineRule="auto"/>
              <w:ind w:firstLine="561" w:firstLineChars="200"/>
              <w:jc w:val="center"/>
              <w:rPr>
                <w:rFonts w:hint="eastAsia"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 xml:space="preserve">第一章原子结构与性质 </w:t>
            </w:r>
          </w:p>
          <w:p>
            <w:pPr>
              <w:pStyle w:val="2"/>
              <w:numPr>
                <w:ilvl w:val="0"/>
                <w:numId w:val="2"/>
              </w:numPr>
              <w:tabs>
                <w:tab w:val="left" w:pos="4111"/>
              </w:tabs>
              <w:snapToGrid w:val="0"/>
              <w:spacing w:line="360" w:lineRule="auto"/>
              <w:ind w:firstLine="561" w:firstLineChars="200"/>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课时2 元素周期律 </w:t>
            </w:r>
          </w:p>
          <w:p>
            <w:pPr>
              <w:pStyle w:val="2"/>
              <w:numPr>
                <w:numId w:val="0"/>
              </w:numPr>
              <w:tabs>
                <w:tab w:val="left" w:pos="4111"/>
              </w:tabs>
              <w:snapToGrid w:val="0"/>
              <w:spacing w:line="360" w:lineRule="auto"/>
              <w:jc w:val="both"/>
              <w:rPr>
                <w:rFonts w:ascii="Times New Roman" w:hAnsi="Times New Roman" w:eastAsia="宋体" w:cs="Times New Roman"/>
                <w:bCs/>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lang w:val="en-US" w:eastAsia="zh-CN"/>
                <w14:textFill>
                  <w14:solidFill>
                    <w14:schemeClr w14:val="tx1"/>
                  </w14:solidFill>
                </w14:textFill>
              </w:rPr>
              <w:t xml:space="preserve">一 </w:t>
            </w:r>
            <w:r>
              <w:rPr>
                <w:rFonts w:ascii="Times New Roman" w:hAnsi="Times New Roman" w:eastAsia="宋体" w:cs="Times New Roman"/>
                <w:bCs/>
                <w:color w:val="000000" w:themeColor="text1"/>
                <w:sz w:val="28"/>
                <w:szCs w:val="28"/>
                <w14:textFill>
                  <w14:solidFill>
                    <w14:schemeClr w14:val="tx1"/>
                  </w14:solidFill>
                </w14:textFill>
              </w:rPr>
              <w:t>元素周期律</w:t>
            </w:r>
          </w:p>
          <w:p>
            <w:pPr>
              <w:pStyle w:val="2"/>
              <w:numPr>
                <w:numId w:val="0"/>
              </w:numPr>
              <w:tabs>
                <w:tab w:val="left" w:pos="4111"/>
              </w:tabs>
              <w:snapToGrid w:val="0"/>
              <w:spacing w:line="360" w:lineRule="auto"/>
              <w:jc w:val="both"/>
              <w:rPr>
                <w:rFonts w:hint="eastAsia" w:ascii="Times New Roman" w:hAnsi="Times New Roman" w:eastAsia="宋体" w:cs="Times New Roman"/>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8"/>
                <w:szCs w:val="28"/>
                <w:lang w:val="en-US" w:eastAsia="zh-CN"/>
                <w14:textFill>
                  <w14:solidFill>
                    <w14:schemeClr w14:val="tx1"/>
                  </w14:solidFill>
                </w14:textFill>
              </w:rPr>
              <w:t>二 电离能</w:t>
            </w:r>
          </w:p>
          <w:p>
            <w:pPr>
              <w:pStyle w:val="2"/>
              <w:numPr>
                <w:numId w:val="0"/>
              </w:numPr>
              <w:tabs>
                <w:tab w:val="left" w:pos="4111"/>
              </w:tabs>
              <w:snapToGrid w:val="0"/>
              <w:spacing w:line="360" w:lineRule="auto"/>
              <w:jc w:val="both"/>
              <w:rPr>
                <w:rFonts w:hint="default" w:ascii="Times New Roman" w:hAnsi="Times New Roman" w:eastAsia="宋体" w:cs="Times New Roman"/>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Cs/>
                <w:color w:val="000000" w:themeColor="text1"/>
                <w:sz w:val="28"/>
                <w:szCs w:val="28"/>
                <w:lang w:val="en-US" w:eastAsia="zh-CN"/>
                <w14:textFill>
                  <w14:solidFill>
                    <w14:schemeClr w14:val="tx1"/>
                  </w14:solidFill>
                </w14:textFill>
              </w:rPr>
              <w:t xml:space="preserve">三 </w:t>
            </w:r>
            <w:r>
              <w:rPr>
                <w:rFonts w:ascii="Times New Roman" w:hAnsi="Times New Roman" w:cs="Times New Roman"/>
                <w:bCs/>
                <w:color w:val="000000" w:themeColor="text1"/>
                <w:sz w:val="28"/>
                <w:szCs w:val="28"/>
                <w14:textFill>
                  <w14:solidFill>
                    <w14:schemeClr w14:val="tx1"/>
                  </w14:solidFill>
                </w14:textFill>
              </w:rPr>
              <w:t>电负性</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80000287" w:usb1="280F3C52" w:usb2="00000016" w:usb3="00000000" w:csb0="0004001F" w:csb1="00000000"/>
  </w:font>
  <w:font w:name="方正小标宋简体">
    <w:altName w:val="汉仪书宋二KW"/>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Heiti SC Light">
    <w:panose1 w:val="02000000000000000000"/>
    <w:charset w:val="86"/>
    <w:family w:val="auto"/>
    <w:pitch w:val="default"/>
    <w:sig w:usb0="8000002F" w:usb1="0800004A" w:usb2="00000000" w:usb3="00000000" w:csb0="203E0000" w:csb1="00000000"/>
  </w:font>
  <w:font w:name="Heiti TC Light">
    <w:panose1 w:val="02000000000000000000"/>
    <w:charset w:val="86"/>
    <w:family w:val="auto"/>
    <w:pitch w:val="default"/>
    <w:sig w:usb0="8000002F" w:usb1="0800004A" w:usb2="00000000" w:usb3="00000000" w:csb0="203E0000" w:csb1="00000000"/>
  </w:font>
  <w:font w:name="汉仪君黑">
    <w:panose1 w:val="020B0604020202020204"/>
    <w:charset w:val="86"/>
    <w:family w:val="auto"/>
    <w:pitch w:val="default"/>
    <w:sig w:usb0="A00002BF" w:usb1="0ACF7CFA" w:usb2="00000016" w:usb3="00000000" w:csb0="2004000F" w:csb1="00000000"/>
  </w:font>
  <w:font w:name="Hiragino Sans CNS W3">
    <w:panose1 w:val="020B0300000000000000"/>
    <w:charset w:val="88"/>
    <w:family w:val="auto"/>
    <w:pitch w:val="default"/>
    <w:sig w:usb0="00000001" w:usb1="1A0F1900" w:usb2="00000016" w:usb3="00000000" w:csb0="00120005" w:csb1="00000000"/>
  </w:font>
  <w:font w:name="宋体-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Hiragino Sans GB W3">
    <w:panose1 w:val="020B0300000000000000"/>
    <w:charset w:val="86"/>
    <w:family w:val="auto"/>
    <w:pitch w:val="default"/>
    <w:sig w:usb0="A00002BF" w:usb1="1ACF7CFA" w:usb2="00000016" w:usb3="00000000" w:csb0="00060007" w:csb1="00000000"/>
  </w:font>
  <w:font w:name="汉仪仿宋KW">
    <w:panose1 w:val="00020600040101010101"/>
    <w:charset w:val="86"/>
    <w:family w:val="auto"/>
    <w:pitch w:val="default"/>
    <w:sig w:usb0="A00002BF" w:usb1="18EF7CFA" w:usb2="00000016" w:usb3="00000000" w:csb0="00040000" w:csb1="00000000"/>
  </w:font>
  <w:font w:name="SimSong Regular">
    <w:panose1 w:val="02020300000000000000"/>
    <w:charset w:val="86"/>
    <w:family w:val="auto"/>
    <w:pitch w:val="default"/>
    <w:sig w:usb0="800002BF" w:usb1="38CF7CFA" w:usb2="00000016" w:usb3="00000000" w:csb0="0004000D" w:csb1="00000000"/>
  </w:font>
  <w:font w:name="凌慧体-繁">
    <w:panose1 w:val="03050602040302020204"/>
    <w:charset w:val="86"/>
    <w:family w:val="auto"/>
    <w:pitch w:val="default"/>
    <w:sig w:usb0="A00002FF" w:usb1="7ACFFCFB" w:usb2="0000001E" w:usb3="00000000" w:csb0="20140183" w:csb1="00000000"/>
  </w:font>
  <w:font w:name="Songti SC Regular">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A24DD"/>
    <w:multiLevelType w:val="singleLevel"/>
    <w:tmpl w:val="EFFA24DD"/>
    <w:lvl w:ilvl="0" w:tentative="0">
      <w:start w:val="2"/>
      <w:numFmt w:val="chineseCounting"/>
      <w:suff w:val="space"/>
      <w:lvlText w:val="第%1节"/>
      <w:lvlJc w:val="left"/>
      <w:rPr>
        <w:rFonts w:hint="eastAsia"/>
      </w:rPr>
    </w:lvl>
  </w:abstractNum>
  <w:abstractNum w:abstractNumId="1">
    <w:nsid w:val="32FA4DC3"/>
    <w:multiLevelType w:val="multilevel"/>
    <w:tmpl w:val="32FA4D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E3YWQ2MzcwYmEwMjdjOWQ5NTdmYjk0ZjhjYTMifQ=="/>
  </w:docVars>
  <w:rsids>
    <w:rsidRoot w:val="3A8A0CC5"/>
    <w:rsid w:val="0E7F1DAC"/>
    <w:rsid w:val="271D1BB2"/>
    <w:rsid w:val="3A8A0CC5"/>
    <w:rsid w:val="73FDE5CE"/>
    <w:rsid w:val="77F3EC8A"/>
    <w:rsid w:val="7A2E533F"/>
    <w:rsid w:val="7CBB4020"/>
    <w:rsid w:val="7D66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nhideWhenUsed/>
    <w:qFormat/>
    <w:uiPriority w:val="99"/>
    <w:pPr>
      <w:spacing w:before="100" w:beforeAutospacing="1" w:after="100"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hint="default" w:ascii="华文楷体" w:hAnsi="华文楷体" w:eastAsia="华文楷体" w:cs="华文楷体"/>
      <w:b/>
      <w:bCs/>
      <w:color w:val="000000"/>
      <w:sz w:val="28"/>
      <w:szCs w:val="28"/>
      <w:u w:val="none"/>
    </w:rPr>
  </w:style>
  <w:style w:type="character" w:customStyle="1" w:styleId="8">
    <w:name w:val="font61"/>
    <w:basedOn w:val="6"/>
    <w:qFormat/>
    <w:uiPriority w:val="0"/>
    <w:rPr>
      <w:rFonts w:hint="default" w:ascii="华文楷体" w:hAnsi="华文楷体" w:eastAsia="华文楷体" w:cs="华文楷体"/>
      <w:b/>
      <w:bCs/>
      <w:color w:val="000000"/>
      <w:sz w:val="28"/>
      <w:szCs w:val="28"/>
      <w:u w:val="single"/>
    </w:rPr>
  </w:style>
  <w:style w:type="character" w:customStyle="1" w:styleId="9">
    <w:name w:val="font51"/>
    <w:basedOn w:val="6"/>
    <w:qFormat/>
    <w:uiPriority w:val="0"/>
    <w:rPr>
      <w:rFonts w:hint="default" w:ascii="华文楷体" w:hAnsi="华文楷体" w:eastAsia="华文楷体" w:cs="华文楷体"/>
      <w:b/>
      <w:bCs/>
      <w:color w:val="000000"/>
      <w:sz w:val="28"/>
      <w:szCs w:val="28"/>
      <w:u w:val="none"/>
      <w:vertAlign w:val="superscript"/>
    </w:rPr>
  </w:style>
  <w:style w:type="paragraph" w:customStyle="1" w:styleId="10">
    <w:name w:val="Normal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631</Words>
  <Characters>648</Characters>
  <Lines>0</Lines>
  <Paragraphs>0</Paragraphs>
  <TotalTime>2</TotalTime>
  <ScaleCrop>false</ScaleCrop>
  <LinksUpToDate>false</LinksUpToDate>
  <CharactersWithSpaces>657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2023-04-13T11:34:00Z</dcterms:created>
  <dc:creator>Lenovo</dc:creator>
  <cp:lastModifiedBy>栀子</cp:lastModifiedBy>
  <dcterms:modified xsi:type="dcterms:W3CDTF">2025-02-13T14:27:00Z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2C852AACCB0C4404A188D068FBA4B797_13</vt:lpwstr>
  </property>
</Properties>
</file>