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10629900</wp:posOffset>
            </wp:positionH>
            <wp:positionV relativeFrom="topMargin">
              <wp:posOffset>10871200</wp:posOffset>
            </wp:positionV>
            <wp:extent cx="279400" cy="444500"/>
            <wp:wrapNone/>
            <wp:docPr id="1000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52752322"/>
      <w:bookmarkEnd w:id="0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第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2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节 生态系统的能量流动</w:t>
      </w:r>
    </w:p>
    <w:p>
      <w:pPr>
        <w:rPr>
          <w:rFonts w:asciiTheme="majorEastAsia" w:eastAsiaTheme="majorEastAsia" w:hAnsiTheme="majorEastAsia" w:cs="微软雅黑" w:hint="eastAsia"/>
          <w:b w:val="0"/>
          <w:bCs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       </w:t>
      </w:r>
      <w:r>
        <w:rPr>
          <w:rFonts w:ascii="微软雅黑" w:eastAsia="微软雅黑" w:hAnsi="微软雅黑" w:cs="微软雅黑" w:hint="eastAsia"/>
          <w:b/>
          <w:bCs/>
          <w:sz w:val="15"/>
          <w:szCs w:val="15"/>
        </w:rPr>
        <w:t xml:space="preserve">        </w:t>
      </w:r>
      <w:r>
        <w:rPr>
          <w:rFonts w:ascii="微软雅黑" w:eastAsia="微软雅黑" w:hAnsi="微软雅黑" w:cs="微软雅黑"/>
          <w:b/>
          <w:bCs/>
          <w:sz w:val="15"/>
          <w:szCs w:val="15"/>
        </w:rPr>
        <w:t xml:space="preserve">             </w:t>
      </w:r>
      <w:r>
        <w:rPr>
          <w:rFonts w:ascii="微软雅黑" w:eastAsia="微软雅黑" w:hAnsi="微软雅黑" w:cs="微软雅黑"/>
          <w:b/>
          <w:bCs/>
          <w:sz w:val="13"/>
          <w:szCs w:val="13"/>
        </w:rPr>
        <w:t xml:space="preserve"> </w:t>
      </w:r>
      <w:r>
        <w:rPr>
          <w:rFonts w:asciiTheme="majorEastAsia" w:eastAsiaTheme="majorEastAsia" w:hAnsiTheme="majorEastAsia" w:hint="eastAsia"/>
          <w:b w:val="0"/>
          <w:bCs w:val="0"/>
          <w:sz w:val="24"/>
          <w:szCs w:val="24"/>
        </w:rPr>
        <w:t>第2课时　生态金字塔和研究能量流动的实践意义</w:t>
      </w:r>
    </w:p>
    <w:p>
      <w:pPr>
        <w:ind w:firstLine="2940" w:firstLineChars="1400"/>
        <w:rPr>
          <w:rFonts w:asciiTheme="majorEastAsia" w:eastAsiaTheme="majorEastAsia" w:hAnsiTheme="majorEastAsia" w:cstheme="majorEastAsia" w:hint="eastAsia"/>
          <w:b/>
          <w:bCs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szCs w:val="21"/>
        </w:rPr>
        <w:t>班级</w:t>
      </w:r>
      <w:r>
        <w:rPr>
          <w:rFonts w:asciiTheme="majorEastAsia" w:eastAsiaTheme="majorEastAsia" w:hAnsiTheme="majorEastAsia" w:cstheme="majorEastAsia" w:hint="eastAsia"/>
          <w:b/>
          <w:bCs/>
          <w:szCs w:val="21"/>
          <w:u w:val="single"/>
        </w:rPr>
        <w:t xml:space="preserve">      </w:t>
      </w:r>
      <w:r>
        <w:rPr>
          <w:rFonts w:asciiTheme="majorEastAsia" w:eastAsiaTheme="majorEastAsia" w:hAnsiTheme="majorEastAsia" w:cstheme="majorEastAsia" w:hint="eastAsia"/>
          <w:b/>
          <w:bCs/>
          <w:szCs w:val="21"/>
        </w:rPr>
        <w:t xml:space="preserve">  学号</w:t>
      </w:r>
      <w:r>
        <w:rPr>
          <w:rFonts w:asciiTheme="majorEastAsia" w:eastAsiaTheme="majorEastAsia" w:hAnsiTheme="majorEastAsia" w:cstheme="majorEastAsia" w:hint="eastAsia"/>
          <w:b/>
          <w:bCs/>
          <w:szCs w:val="21"/>
          <w:u w:val="single"/>
        </w:rPr>
        <w:t xml:space="preserve">      </w:t>
      </w:r>
      <w:r>
        <w:rPr>
          <w:rFonts w:asciiTheme="majorEastAsia" w:eastAsiaTheme="majorEastAsia" w:hAnsiTheme="majorEastAsia" w:cstheme="majorEastAsia" w:hint="eastAsia"/>
          <w:b/>
          <w:bCs/>
          <w:szCs w:val="21"/>
        </w:rPr>
        <w:t xml:space="preserve">  姓名</w:t>
      </w:r>
      <w:r>
        <w:rPr>
          <w:rFonts w:asciiTheme="majorEastAsia" w:eastAsiaTheme="majorEastAsia" w:hAnsiTheme="majorEastAsia" w:cstheme="majorEastAsia" w:hint="eastAsia"/>
          <w:b/>
          <w:bCs/>
          <w:szCs w:val="21"/>
          <w:u w:val="single"/>
        </w:rPr>
        <w:t xml:space="preserve">         </w:t>
      </w:r>
      <w:r>
        <w:rPr>
          <w:rFonts w:asciiTheme="majorEastAsia" w:eastAsiaTheme="majorEastAsia" w:hAnsiTheme="majorEastAsia" w:cstheme="majorEastAsia" w:hint="eastAsia"/>
          <w:b/>
          <w:bCs/>
          <w:szCs w:val="21"/>
        </w:rPr>
        <w:t xml:space="preserve"> </w:t>
      </w:r>
    </w:p>
    <w:p>
      <w:pPr>
        <w:ind w:firstLine="2940" w:firstLineChars="1400"/>
        <w:rPr>
          <w:rFonts w:asciiTheme="majorEastAsia" w:eastAsiaTheme="majorEastAsia" w:hAnsiTheme="majorEastAsia" w:cstheme="majorEastAsia" w:hint="eastAsia"/>
          <w:b/>
          <w:bCs/>
          <w:szCs w:val="21"/>
        </w:rPr>
      </w:pP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黑体" w:eastAsia="黑体" w:hAnsi="黑体" w:cs="Times New Roman" w:hint="eastAsia"/>
          <w:b/>
          <w:sz w:val="24"/>
          <w:szCs w:val="24"/>
        </w:rPr>
      </w:pPr>
      <w:r>
        <w:rPr>
          <w:rFonts w:ascii="黑体" w:eastAsia="黑体" w:hAnsi="黑体" w:cs="Times New Roman" w:hint="eastAsia"/>
          <w:b/>
          <w:sz w:val="24"/>
          <w:szCs w:val="24"/>
        </w:rPr>
        <w:t>一、生态金字塔</w:t>
      </w:r>
    </w:p>
    <w:p>
      <w:r>
        <w:drawing>
          <wp:inline distT="0" distB="0" distL="114300" distR="114300">
            <wp:extent cx="1104900" cy="29527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用生态金字塔表征生态系统中各营养级间的能量、生物量或数量等关系。</w:t>
      </w:r>
    </w:p>
    <w:p>
      <w:pPr>
        <w:numPr>
          <w:ilvl w:val="0"/>
          <w:numId w:val="1"/>
        </w:numPr>
      </w:pPr>
      <w:r>
        <w:rPr>
          <w:rFonts w:hint="eastAsia"/>
        </w:rPr>
        <w:t>概述研究生态系统能量流动的意义</w:t>
      </w:r>
      <w:r>
        <w:rPr>
          <w:rFonts w:hint="eastAsia"/>
          <w:lang w:eastAsia="zh-CN"/>
        </w:rPr>
        <w:t>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947420" cy="243205"/>
            <wp:effectExtent l="0" t="0" r="5080" b="4445"/>
            <wp:docPr id="221" name="自主学习彩.jpg" descr="id:214750606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自主学习彩.jpg" descr="id:2147506062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7966" cy="24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 w:val="21"/>
          <w:szCs w:val="21"/>
        </w:rPr>
        <w:t>1.能量金字塔:</w:t>
      </w:r>
    </w:p>
    <w:p>
      <w:pPr>
        <w:spacing w:line="360" w:lineRule="auto"/>
        <w:jc w:val="center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drawing>
          <wp:inline distT="0" distB="0" distL="0" distR="0">
            <wp:extent cx="1795145" cy="1636395"/>
            <wp:effectExtent l="0" t="0" r="14605" b="1905"/>
            <wp:docPr id="375" name="20sw3r39.jpg" descr="id:214749515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20sw3r39.jpg" descr="id:2147495156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5320" cy="16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(1)图中A、B、C、D每层代表</w:t>
      </w:r>
      <w:r>
        <w:rPr>
          <w:rFonts w:asciiTheme="minorEastAsia" w:eastAsiaTheme="minorEastAsia" w:hAnsiTheme="minorEastAsia" w:cstheme="minorEastAsia" w:hint="eastAsia"/>
          <w:b/>
          <w:color w:val="C00000"/>
          <w:sz w:val="21"/>
          <w:szCs w:val="21"/>
          <w:u w:val="single" w:color="000000"/>
        </w:rPr>
        <w:t>各个营养级获得的能量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(2)最底层A代表</w:t>
      </w:r>
      <w:r>
        <w:rPr>
          <w:rFonts w:asciiTheme="minorEastAsia" w:eastAsiaTheme="minorEastAsia" w:hAnsiTheme="minorEastAsia" w:cstheme="minorEastAsia" w:hint="eastAsia"/>
          <w:b/>
          <w:color w:val="C00000"/>
          <w:sz w:val="21"/>
          <w:szCs w:val="21"/>
          <w:u w:val="single" w:color="000000"/>
        </w:rPr>
        <w:t>第一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营养级,以此类推,由</w:t>
      </w:r>
      <w:r>
        <w:rPr>
          <w:rFonts w:asciiTheme="minorEastAsia" w:eastAsiaTheme="minorEastAsia" w:hAnsiTheme="minorEastAsia" w:cstheme="minorEastAsia" w:hint="eastAsia"/>
          <w:b/>
          <w:color w:val="C00000"/>
          <w:sz w:val="21"/>
          <w:szCs w:val="21"/>
          <w:u w:val="single" w:color="000000"/>
        </w:rPr>
        <w:t>低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到</w:t>
      </w:r>
      <w:r>
        <w:rPr>
          <w:rFonts w:asciiTheme="minorEastAsia" w:eastAsiaTheme="minorEastAsia" w:hAnsiTheme="minorEastAsia" w:cstheme="minorEastAsia" w:hint="eastAsia"/>
          <w:b/>
          <w:color w:val="C00000"/>
          <w:sz w:val="21"/>
          <w:szCs w:val="21"/>
          <w:u w:val="single" w:color="000000"/>
        </w:rPr>
        <w:t>高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(3)由于能量的逐级递减,能量金字塔往往是正立的。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 w:val="21"/>
          <w:szCs w:val="21"/>
        </w:rPr>
        <w:t>2.生物量金字塔: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(1)含义:各个营养级生物量(每个营养级所容纳的</w:t>
      </w:r>
      <w:r>
        <w:rPr>
          <w:rFonts w:asciiTheme="minorEastAsia" w:eastAsiaTheme="minorEastAsia" w:hAnsiTheme="minorEastAsia" w:cstheme="minorEastAsia" w:hint="eastAsia"/>
          <w:b/>
          <w:color w:val="C00000"/>
          <w:sz w:val="21"/>
          <w:szCs w:val="21"/>
          <w:u w:val="single" w:color="000000"/>
        </w:rPr>
        <w:t>有机物的总干重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)之间的关系。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(2)特点:大多是</w:t>
      </w:r>
      <w:r>
        <w:rPr>
          <w:rFonts w:asciiTheme="minorEastAsia" w:eastAsiaTheme="minorEastAsia" w:hAnsiTheme="minorEastAsia" w:cstheme="minorEastAsia" w:hint="eastAsia"/>
          <w:b/>
          <w:color w:val="C00000"/>
          <w:sz w:val="21"/>
          <w:szCs w:val="21"/>
          <w:u w:val="single" w:color="000000"/>
        </w:rPr>
        <w:t>上窄下宽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的金字塔形。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sz w:val="21"/>
          <w:szCs w:val="21"/>
        </w:rPr>
        <w:t>3.数量金字塔: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(1)含义:各个营养级的生物个体的</w:t>
      </w:r>
      <w:r>
        <w:rPr>
          <w:rFonts w:asciiTheme="minorEastAsia" w:eastAsiaTheme="minorEastAsia" w:hAnsiTheme="minorEastAsia" w:cstheme="minorEastAsia" w:hint="eastAsia"/>
          <w:b/>
          <w:color w:val="C00000"/>
          <w:sz w:val="21"/>
          <w:szCs w:val="21"/>
          <w:u w:val="single" w:color="000000"/>
        </w:rPr>
        <w:t>数目比值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的关系。</w:t>
      </w:r>
    </w:p>
    <w:p>
      <w:pPr>
        <w:spacing w:line="360" w:lineRule="auto"/>
        <w:rPr>
          <w:b/>
          <w:bCs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(2)特点:不同生态系统,金字塔的形状会有差异。有时呈现</w:t>
      </w:r>
      <w:r>
        <w:rPr>
          <w:rFonts w:asciiTheme="minorEastAsia" w:eastAsiaTheme="minorEastAsia" w:hAnsiTheme="minorEastAsia" w:cstheme="minorEastAsia" w:hint="eastAsia"/>
          <w:b/>
          <w:color w:val="C00000"/>
          <w:sz w:val="21"/>
          <w:szCs w:val="21"/>
          <w:u w:val="single" w:color="000000"/>
        </w:rPr>
        <w:t>上宽下窄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的倒置形状。</w:t>
      </w:r>
    </w:p>
    <w:p>
      <w:pPr>
        <w:rPr>
          <w:b/>
          <w:bCs/>
        </w:rPr>
      </w:pPr>
      <w:r>
        <w:rPr>
          <w:b/>
          <w:bCs/>
        </w:rPr>
        <w:t>4</w:t>
      </w:r>
      <w:r>
        <w:rPr>
          <w:rFonts w:hint="eastAsia"/>
          <w:b/>
          <w:bCs/>
        </w:rPr>
        <w:t>.判断下列相关表述的正误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第一营养级同化的能量的去向是呼吸作用、用于自身生长、发育和繁殖以及流向分解者。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(</w:t>
      </w:r>
      <w:r>
        <w:rPr>
          <w:rFonts w:asciiTheme="minorEastAsia" w:hAnsiTheme="minorEastAsia" w:cstheme="minorEastAsia" w:hint="eastAsia"/>
          <w:color w:val="C00000"/>
          <w:sz w:val="21"/>
          <w:szCs w:val="21"/>
          <w:lang w:eastAsia="zh-CN"/>
        </w:rPr>
        <w:t>×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)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生态系统中的能量沿着营养级单向流动,而且还是逐级递减的。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(</w:t>
      </w:r>
      <w:r>
        <w:rPr>
          <w:rFonts w:asciiTheme="minorEastAsia" w:eastAsiaTheme="minorEastAsia" w:hAnsiTheme="minorEastAsia" w:cstheme="minorEastAsia" w:hint="eastAsia"/>
          <w:color w:val="C00000"/>
          <w:sz w:val="21"/>
          <w:szCs w:val="21"/>
        </w:rPr>
        <w:t>√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)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初级消费者同化的能量约占生产者同化能量的10%~20%。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(</w:t>
      </w:r>
      <w:r>
        <w:rPr>
          <w:rFonts w:asciiTheme="minorEastAsia" w:eastAsiaTheme="minorEastAsia" w:hAnsiTheme="minorEastAsia" w:cstheme="minorEastAsia" w:hint="eastAsia"/>
          <w:color w:val="C00000"/>
          <w:sz w:val="21"/>
          <w:szCs w:val="21"/>
        </w:rPr>
        <w:t>√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)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能量金字塔和生物量金字塔一定都是上窄下宽的金字塔形。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ab/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(</w:t>
      </w:r>
      <w:r>
        <w:rPr>
          <w:rFonts w:asciiTheme="minorEastAsia" w:hAnsiTheme="minorEastAsia" w:cstheme="minorEastAsia" w:hint="eastAsia"/>
          <w:color w:val="C00000"/>
          <w:sz w:val="21"/>
          <w:szCs w:val="21"/>
          <w:lang w:eastAsia="zh-CN"/>
        </w:rPr>
        <w:t>×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)</w:t>
      </w:r>
    </w:p>
    <w:p>
      <w:pPr>
        <w:rPr>
          <w:b/>
          <w:bCs/>
        </w:rPr>
      </w:pP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76835</wp:posOffset>
            </wp:positionV>
            <wp:extent cx="963295" cy="250190"/>
            <wp:effectExtent l="0" t="0" r="8255" b="6985"/>
            <wp:wrapSquare wrapText="bothSides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4"/>
        </w:rPr>
      </w:pPr>
    </w:p>
    <w:p>
      <w:pPr>
        <w:rPr>
          <w:rFonts w:ascii="宋体" w:eastAsia="宋体" w:hAnsi="宋体" w:cs="宋体" w:hint="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任务一：生态金字塔的模型构建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1．请同学们将赛达伯格湖的能量流动数据，用相应面积的图形表示，并按营养级由低到高排列。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赛达伯格湖的能量流动数据分析[单位：J/(cm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·a)]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026"/>
        <w:gridCol w:w="1446"/>
        <w:gridCol w:w="1446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能量分析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生产者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植食性动物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肉食性动物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输入能量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464.6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62.8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12.6</w:t>
            </w:r>
          </w:p>
        </w:tc>
      </w:tr>
    </w:tbl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  <w:color w:val="C00000"/>
        </w:rPr>
      </w:pPr>
      <w:r>
        <w:rPr>
          <w:rFonts w:ascii="Times New Roman" w:eastAsia="黑体" w:hAnsi="Times New Roman" w:cs="Times New Roman"/>
          <w:color w:val="C00000"/>
        </w:rPr>
        <w:t>提示　</w:t>
      </w:r>
      <w:r>
        <w:rPr>
          <w:rFonts w:ascii="Times New Roman" w:eastAsia="仿宋_GB2312" w:hAnsi="Times New Roman" w:cs="Times New Roman"/>
          <w:color w:val="C00000"/>
        </w:rPr>
        <w:t>如图所示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501140" cy="1059180"/>
            <wp:effectExtent l="0" t="0" r="381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2．生态学家调查了不同生态系统中的生物个体数量和生物量(调查数据中排除了微生物和土壤动物)，所得数据如表格所示。P代表生产者，C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、C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、C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依次代表初级、次级和三级消费者。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资料1　</w:t>
      </w:r>
      <w:r>
        <w:rPr>
          <w:rFonts w:ascii="Times New Roman" w:eastAsia="楷体_GB2312" w:hAnsi="Times New Roman" w:cs="Times New Roman"/>
        </w:rPr>
        <w:t>夏季两个生态系统的生物个体数量统计表，单位为个·hm</w:t>
      </w:r>
      <w:r>
        <w:rPr>
          <w:rFonts w:ascii="Times New Roman" w:eastAsia="楷体_GB2312" w:hAnsi="Times New Roman" w:cs="Times New Roman"/>
          <w:vertAlign w:val="superscript"/>
        </w:rPr>
        <w:t>－2</w:t>
      </w:r>
      <w:r>
        <w:rPr>
          <w:rFonts w:ascii="Times New Roman" w:eastAsia="楷体_GB2312" w:hAnsi="Times New Roman" w:cs="Times New Roman"/>
        </w:rPr>
        <w:t>。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1376"/>
        <w:gridCol w:w="1446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名称</w:t>
            </w:r>
          </w:p>
        </w:tc>
        <w:tc>
          <w:tcPr>
            <w:tcW w:w="137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某草地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某温带森林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137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15 000 000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2 000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C</w:t>
            </w:r>
            <w:r>
              <w:rPr>
                <w:rFonts w:ascii="Times New Roman" w:eastAsia="楷体_GB2312" w:hAnsi="Times New Roman" w:cs="Times New Roman"/>
                <w:vertAlign w:val="subscript"/>
              </w:rPr>
              <w:t>1</w:t>
            </w:r>
          </w:p>
        </w:tc>
        <w:tc>
          <w:tcPr>
            <w:tcW w:w="137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2 000 000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1 500 000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C</w:t>
            </w:r>
            <w:r>
              <w:rPr>
                <w:rFonts w:ascii="Times New Roman" w:eastAsia="楷体_GB2312" w:hAnsi="Times New Roman" w:cs="Times New Roman"/>
                <w:vertAlign w:val="subscript"/>
              </w:rPr>
              <w:t>2</w:t>
            </w:r>
          </w:p>
        </w:tc>
        <w:tc>
          <w:tcPr>
            <w:tcW w:w="137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900 000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1 200 000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C</w:t>
            </w:r>
            <w:r>
              <w:rPr>
                <w:rFonts w:ascii="Times New Roman" w:eastAsia="楷体_GB2312" w:hAnsi="Times New Roman" w:cs="Times New Roman"/>
                <w:vertAlign w:val="subscript"/>
              </w:rPr>
              <w:t>3</w:t>
            </w:r>
          </w:p>
        </w:tc>
        <w:tc>
          <w:tcPr>
            <w:tcW w:w="137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10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20</w:t>
            </w:r>
          </w:p>
        </w:tc>
      </w:tr>
    </w:tbl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(1)请根据资料1，分别建构这两个生态系统的数量金字塔。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  <w:color w:val="C00000"/>
        </w:rPr>
      </w:pPr>
      <w:r>
        <w:rPr>
          <w:rFonts w:ascii="Times New Roman" w:eastAsia="黑体" w:hAnsi="Times New Roman" w:cs="Times New Roman"/>
          <w:color w:val="C00000"/>
        </w:rPr>
        <w:t>提示　</w:t>
      </w:r>
      <w:r>
        <w:rPr>
          <w:rFonts w:ascii="Times New Roman" w:eastAsia="仿宋_GB2312" w:hAnsi="Times New Roman" w:cs="Times New Roman"/>
          <w:color w:val="C00000"/>
        </w:rPr>
        <w:t>某草地：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eastAsia="黑体" w:hAnsi="Times New Roman" w:cs="Times New Roman"/>
          <w:color w:val="C00000"/>
        </w:rPr>
      </w:pPr>
      <w:r>
        <w:rPr>
          <w:rFonts w:ascii="Times New Roman" w:eastAsia="黑体" w:hAnsi="Times New Roman" w:cs="Times New Roman"/>
          <w:color w:val="C00000"/>
        </w:rPr>
        <w:drawing>
          <wp:inline distT="0" distB="0" distL="114300" distR="114300">
            <wp:extent cx="2247900" cy="8001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  <w:color w:val="C00000"/>
        </w:rPr>
      </w:pPr>
      <w:r>
        <w:rPr>
          <w:rFonts w:ascii="Times New Roman" w:eastAsia="仿宋_GB2312" w:hAnsi="Times New Roman" w:cs="Times New Roman"/>
          <w:color w:val="C00000"/>
        </w:rPr>
        <w:t>某温带森林：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  <w:color w:val="C00000"/>
        </w:rPr>
        <w:drawing>
          <wp:inline distT="0" distB="0" distL="114300" distR="114300">
            <wp:extent cx="2225040" cy="800100"/>
            <wp:effectExtent l="0" t="0" r="381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资料2　</w:t>
      </w:r>
      <w:r>
        <w:rPr>
          <w:rFonts w:ascii="Times New Roman" w:eastAsia="楷体_GB2312" w:hAnsi="Times New Roman" w:cs="Times New Roman"/>
        </w:rPr>
        <w:t>夏季两个生态系统的生物量统计表，单位为g·m</w:t>
      </w:r>
      <w:r>
        <w:rPr>
          <w:rFonts w:ascii="Times New Roman" w:eastAsia="楷体_GB2312" w:hAnsi="Times New Roman" w:cs="Times New Roman"/>
          <w:vertAlign w:val="superscript"/>
        </w:rPr>
        <w:t>－2</w:t>
      </w:r>
      <w:r>
        <w:rPr>
          <w:rFonts w:ascii="Times New Roman" w:eastAsia="楷体_GB2312" w:hAnsi="Times New Roman" w:cs="Times New Roman"/>
        </w:rPr>
        <w:t>。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026"/>
        <w:gridCol w:w="1026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名称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某湖泊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某海峡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P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96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4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C</w:t>
            </w:r>
            <w:r>
              <w:rPr>
                <w:rFonts w:ascii="Times New Roman" w:eastAsia="楷体_GB2312" w:hAnsi="Times New Roman" w:cs="Times New Roman"/>
                <w:vertAlign w:val="subscript"/>
              </w:rPr>
              <w:t>1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11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21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C</w:t>
            </w:r>
            <w:r>
              <w:rPr>
                <w:rFonts w:ascii="Times New Roman" w:eastAsia="楷体_GB2312" w:hAnsi="Times New Roman" w:cs="Times New Roman"/>
                <w:vertAlign w:val="subscript"/>
              </w:rPr>
              <w:t>2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4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—</w:t>
            </w:r>
          </w:p>
        </w:tc>
      </w:tr>
    </w:tbl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(2)根据资料2，分别建构两个生态系统的生物量金字塔。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  <w:color w:val="C00000"/>
        </w:rPr>
      </w:pPr>
      <w:r>
        <w:rPr>
          <w:rFonts w:ascii="Times New Roman" w:eastAsia="黑体" w:hAnsi="Times New Roman" w:cs="Times New Roman"/>
          <w:color w:val="C00000"/>
        </w:rPr>
        <w:t>提示　</w:t>
      </w:r>
      <w:r>
        <w:rPr>
          <w:rFonts w:ascii="Times New Roman" w:eastAsia="仿宋_GB2312" w:hAnsi="Times New Roman" w:cs="Times New Roman"/>
          <w:color w:val="C00000"/>
        </w:rPr>
        <w:t>某湖泊：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  <w:color w:val="C00000"/>
        </w:rPr>
      </w:pPr>
      <w:r>
        <w:rPr>
          <w:rFonts w:ascii="Times New Roman" w:eastAsia="仿宋_GB2312" w:hAnsi="Times New Roman" w:cs="Times New Roman"/>
          <w:color w:val="C00000"/>
        </w:rPr>
        <w:drawing>
          <wp:inline distT="0" distB="0" distL="114300" distR="114300">
            <wp:extent cx="2179320" cy="640080"/>
            <wp:effectExtent l="0" t="0" r="11430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  <w:color w:val="C00000"/>
        </w:rPr>
      </w:pPr>
      <w:r>
        <w:rPr>
          <w:rFonts w:ascii="Times New Roman" w:eastAsia="仿宋_GB2312" w:hAnsi="Times New Roman" w:cs="Times New Roman"/>
          <w:color w:val="C00000"/>
        </w:rPr>
        <w:t>某海峡：</w:t>
      </w:r>
    </w:p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  <w:color w:val="C00000"/>
        </w:rPr>
        <w:drawing>
          <wp:inline distT="0" distB="0" distL="114300" distR="114300">
            <wp:extent cx="2164080" cy="640080"/>
            <wp:effectExtent l="0" t="0" r="762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(3)分析数量金字塔出现上宽下窄倒置的金字塔形的原因。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  <w:color w:val="C00000"/>
        </w:rPr>
      </w:pPr>
      <w:r>
        <w:rPr>
          <w:rFonts w:ascii="Times New Roman" w:eastAsia="黑体" w:hAnsi="Times New Roman" w:cs="Times New Roman"/>
          <w:color w:val="C00000"/>
        </w:rPr>
        <w:t>提示　</w:t>
      </w:r>
      <w:r>
        <w:rPr>
          <w:rFonts w:ascii="Times New Roman" w:eastAsia="仿宋_GB2312" w:hAnsi="Times New Roman" w:cs="Times New Roman"/>
          <w:color w:val="C00000"/>
        </w:rPr>
        <w:t>当生产者个体比消费者个体大得多时，数量金字塔经常是倒置的。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(4)分析生物量金字塔出现上宽下窄倒置的金字塔形的原因。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  <w:color w:val="C00000"/>
        </w:rPr>
      </w:pPr>
      <w:r>
        <w:rPr>
          <w:rFonts w:ascii="Times New Roman" w:eastAsia="黑体" w:hAnsi="Times New Roman" w:cs="Times New Roman"/>
          <w:color w:val="C00000"/>
        </w:rPr>
        <w:t>提示　</w:t>
      </w:r>
      <w:r>
        <w:rPr>
          <w:rFonts w:ascii="Times New Roman" w:eastAsia="仿宋_GB2312" w:hAnsi="Times New Roman" w:cs="Times New Roman"/>
          <w:color w:val="C00000"/>
        </w:rPr>
        <w:t>海洋生态系统中，浮游植物个体小，世代周期短，又不断被捕食，因而某一时间调查到的生物量可能低于浮游动物的生物量。当然，总的来看，一年中浮游植物的总的生物量还是比浮游动物的多。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69620" cy="236220"/>
            <wp:effectExtent l="0" t="0" r="1143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生态金字塔的类型和特点</w:t>
      </w:r>
    </w:p>
    <w:tbl>
      <w:tblPr>
        <w:tblStyle w:val="TableNormal"/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2199"/>
        <w:gridCol w:w="2835"/>
        <w:gridCol w:w="2358"/>
      </w:tblGrid>
      <w:tr>
        <w:tblPrEx>
          <w:tblW w:w="8224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项目</w:t>
            </w:r>
          </w:p>
        </w:tc>
        <w:tc>
          <w:tcPr>
            <w:tcW w:w="219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能量金字塔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生物量金字塔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数量金字塔</w:t>
            </w:r>
          </w:p>
        </w:tc>
      </w:tr>
      <w:tr>
        <w:tblPrEx>
          <w:tblW w:w="8224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形状</w:t>
            </w:r>
          </w:p>
        </w:tc>
        <w:tc>
          <w:tcPr>
            <w:tcW w:w="219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drawing>
                <wp:inline distT="0" distB="0" distL="114300" distR="114300">
                  <wp:extent cx="845820" cy="571500"/>
                  <wp:effectExtent l="0" t="0" r="11430" b="0"/>
                  <wp:docPr id="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drawing>
                <wp:inline distT="0" distB="0" distL="114300" distR="114300">
                  <wp:extent cx="906780" cy="586740"/>
                  <wp:effectExtent l="0" t="0" r="7620" b="381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drawing>
                <wp:inline distT="0" distB="0" distL="114300" distR="114300">
                  <wp:extent cx="891540" cy="640080"/>
                  <wp:effectExtent l="0" t="0" r="3810" b="7620"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224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  <w:spacing w:val="-4"/>
              </w:rPr>
              <w:t>每一层</w:t>
            </w:r>
            <w:r>
              <w:rPr>
                <w:rFonts w:asciiTheme="majorEastAsia" w:eastAsiaTheme="majorEastAsia" w:hAnsiTheme="majorEastAsia" w:cstheme="majorEastAsia" w:hint="eastAsia"/>
              </w:rPr>
              <w:t>含义</w:t>
            </w:r>
          </w:p>
        </w:tc>
        <w:tc>
          <w:tcPr>
            <w:tcW w:w="219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单位时间内，食物链中每一营养级生物所同化的能量的多少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单位时间内，每一营养级生物所容纳的有机物的总干重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每一营养级生物个体的数目</w:t>
            </w:r>
          </w:p>
        </w:tc>
      </w:tr>
      <w:tr>
        <w:tblPrEx>
          <w:tblW w:w="8224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特点</w:t>
            </w:r>
          </w:p>
        </w:tc>
        <w:tc>
          <w:tcPr>
            <w:tcW w:w="219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通常都是上窄下宽的金字塔形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一般为上窄下宽的金字塔形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一般为上窄下宽的金字塔形</w:t>
            </w:r>
          </w:p>
        </w:tc>
      </w:tr>
      <w:tr>
        <w:tblPrEx>
          <w:tblW w:w="8224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象征意义</w:t>
            </w:r>
          </w:p>
        </w:tc>
        <w:tc>
          <w:tcPr>
            <w:tcW w:w="219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能量在流动过程中逐级递减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生物量(有机物的总干重)随食物链中营养级的升高而逐级递减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生物个体的数目在食物链中随营养级升高而逐级递减</w:t>
            </w:r>
          </w:p>
        </w:tc>
      </w:tr>
      <w:tr>
        <w:tblPrEx>
          <w:tblW w:w="8224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2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特殊形状</w:t>
            </w:r>
          </w:p>
        </w:tc>
        <w:tc>
          <w:tcPr>
            <w:tcW w:w="2199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－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海洋生态系统中，浮游植物个体小，寿命短，又会不断被捕食，因而某一时间调查到的生物量可能低于浮游动物，呈现倒置的金字塔形</w:t>
            </w:r>
          </w:p>
        </w:tc>
        <w:tc>
          <w:tcPr>
            <w:tcW w:w="2358" w:type="dxa"/>
            <w:shd w:val="clear" w:color="auto" w:fill="auto"/>
            <w:vAlign w:val="center"/>
          </w:tcPr>
          <w:p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Theme="majorEastAsia" w:eastAsiaTheme="majorEastAsia" w:hAnsiTheme="majorEastAsia" w:cstheme="majorEastAsia" w:hint="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如果消费者个体小而生产者个体大，就会呈现倒置的金字塔形，如昆虫和树</w:t>
            </w:r>
          </w:p>
        </w:tc>
      </w:tr>
    </w:tbl>
    <w:p>
      <w:pPr>
        <w:rPr>
          <w:rFonts w:ascii="宋体" w:eastAsia="宋体" w:hAnsi="宋体" w:cs="宋体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r>
        <w:drawing>
          <wp:inline distT="0" distB="0" distL="114300" distR="114300">
            <wp:extent cx="1019175" cy="27622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1.用各个营养级生物的能量、数量构建的金字塔分别称为能量金字塔、数量金字塔。在某一栎林中，第一营养级生物为栎树，第二营养级生物为昆虫，第三营养级生物为蛙、蜥蜴和鸟，第四营养级生物为蛇。该栎林数量金字塔的示意图是(　　)</w:t>
      </w:r>
    </w:p>
    <w:p>
      <w:pPr>
        <w:pStyle w:val="PlainText"/>
        <w:tabs>
          <w:tab w:val="left" w:pos="3828"/>
        </w:tabs>
        <w:spacing w:line="360" w:lineRule="auto"/>
        <w:jc w:val="center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drawing>
          <wp:inline distT="0" distB="0" distL="0" distR="0">
            <wp:extent cx="2882265" cy="490220"/>
            <wp:effectExtent l="0" t="0" r="13335" b="5080"/>
            <wp:docPr id="19" name="图片 15" descr="说明: B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说明: B1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答案　B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解析　由于第一营养级生物栎树比第二营养级昆虫个体体积大得多，所以数量金字塔的第一阶和第二阶会出现上宽下窄的倒金字塔，第三营养级蛙、蜥蜴和鸟的生物数量小于昆虫的数量，第四营养级蛇的数量小于第三营养级蛙、蜥蜴和鸟的数量，B正确。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2.某湖泊的能量金字塔如图所示，下列相关叙述正确的是(　　)</w:t>
      </w:r>
    </w:p>
    <w:p>
      <w:pPr>
        <w:pStyle w:val="PlainText"/>
        <w:tabs>
          <w:tab w:val="left" w:pos="3828"/>
        </w:tabs>
        <w:spacing w:line="360" w:lineRule="auto"/>
        <w:jc w:val="center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drawing>
          <wp:inline distT="0" distB="0" distL="0" distR="0">
            <wp:extent cx="1214120" cy="1148715"/>
            <wp:effectExtent l="0" t="0" r="5080" b="13335"/>
            <wp:docPr id="20" name="图片 14" descr="说明: B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说明: B1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A.该能量金字塔中的a、c分别代表生产者、三级消费者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B.图中所有生物构成一条食物链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C.一个生态系统中营养级越多，在能量流动过程中消耗的能量就越多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D.对于森林生态系统来说，往往一棵树上栖息着很多昆虫，该生态系统中的能量金字塔呈倒置状态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答案　C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解析　由图可知，c为次级消费者，处于第三营养级，A错误；金字塔的每层代表的是一个营养级，每一个营养级可能包含多种生物，故一般能形成多条食物链，B错误；能量在相邻两个营养级间的传递效率是10%～20%，故一个生态系统中营养级越多，能量流动过程中消耗的能量就越多，C正确；对于一个自然生态系统来说，它的能量是由生产者固定的，且沿食物链传递时是逐级递减的，因此按营养级由低到高绘制成的图仍然是下宽上窄的正金字塔形，D错误。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  <w:lang w:val="en-US" w:eastAsia="zh-CN"/>
        </w:rPr>
        <w:t>3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.如图所示，a、b、c、d代表四种不同的生态金字塔，下列有关说法错误的是(　　)</w:t>
      </w:r>
    </w:p>
    <w:p>
      <w:pPr>
        <w:pStyle w:val="PlainText"/>
        <w:tabs>
          <w:tab w:val="left" w:pos="3828"/>
        </w:tabs>
        <w:spacing w:line="360" w:lineRule="auto"/>
        <w:jc w:val="center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drawing>
          <wp:inline distT="0" distB="0" distL="0" distR="0">
            <wp:extent cx="2882265" cy="980440"/>
            <wp:effectExtent l="0" t="0" r="13335" b="10160"/>
            <wp:docPr id="22" name="图片 12" descr="说明: B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说明: B19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828"/>
        </w:tabs>
        <w:spacing w:line="360" w:lineRule="auto"/>
        <w:jc w:val="center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drawing>
          <wp:inline distT="0" distB="0" distL="0" distR="0">
            <wp:extent cx="2882265" cy="892175"/>
            <wp:effectExtent l="0" t="0" r="13335" b="3175"/>
            <wp:docPr id="23" name="图片 11" descr="说明: B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说明: B1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A.某些水域生态系统的生物量金字塔为b型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B.c型金字塔中第二营养级与第三营养级之间的能量传递效率小于10%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C.森林生态系统的数量金字塔也可能为d型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D.在自然生态系统中，能量金字塔也可能为倒金字塔形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答案　D</w:t>
      </w:r>
    </w:p>
    <w:p>
      <w:pPr>
        <w:pStyle w:val="PlainText"/>
        <w:tabs>
          <w:tab w:val="left" w:pos="3828"/>
        </w:tabs>
        <w:spacing w:line="360" w:lineRule="auto"/>
      </w:pP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解析　某些水域生态系统的生物量金字塔可以为倒金字塔形，即b型，A正确；c型金字塔中第二营养级与第三营养级之间的能量传递效率为48÷596</w:t>
      </w: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  <w:lang w:eastAsia="zh-CN"/>
        </w:rPr>
        <w:t>×</w:t>
      </w: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100%≈8.05%，小于10%，B正确；森林生态系统的数量金字塔可能为d型，C正确；自然生态系统的能量金字塔一定是正金字塔形，D错误。</w:t>
      </w:r>
    </w:p>
    <w:p/>
    <w:p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黑体" w:eastAsia="黑体" w:hAnsi="黑体" w:cs="Times New Roman"/>
          <w:b/>
          <w:sz w:val="24"/>
          <w:szCs w:val="24"/>
        </w:rPr>
      </w:pPr>
      <w:r>
        <w:rPr>
          <w:rFonts w:ascii="黑体" w:eastAsia="黑体" w:hAnsi="黑体" w:cs="Times New Roman" w:hint="eastAsia"/>
          <w:b/>
          <w:sz w:val="24"/>
          <w:szCs w:val="24"/>
        </w:rPr>
        <w:t>目标二、 研究能量流动的实践意义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947420" cy="243205"/>
            <wp:effectExtent l="0" t="0" r="5080" b="4445"/>
            <wp:docPr id="5" name="自主学习彩.jpg" descr="id:214750606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自主学习彩.jpg" descr="id:2147506062;FounderCE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7966" cy="24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1.帮助人们将生物在时间、空间上进行</w:t>
      </w:r>
      <w:r>
        <w:rPr>
          <w:rFonts w:asciiTheme="majorEastAsia" w:eastAsiaTheme="majorEastAsia" w:hAnsiTheme="majorEastAsia" w:cstheme="majorEastAsia" w:hint="eastAsia"/>
          <w:b/>
          <w:color w:val="C00000"/>
          <w:sz w:val="21"/>
          <w:szCs w:val="21"/>
          <w:u w:val="single" w:color="000000"/>
        </w:rPr>
        <w:t>合理配置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,增大流入某个生态系统的总能量。</w:t>
      </w:r>
    </w:p>
    <w:p>
      <w:pPr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2.帮助人们科学地规划、设计人工生态系统,使能量得到</w:t>
      </w:r>
      <w:r>
        <w:rPr>
          <w:rFonts w:asciiTheme="majorEastAsia" w:eastAsiaTheme="majorEastAsia" w:hAnsiTheme="majorEastAsia" w:cstheme="majorEastAsia" w:hint="eastAsia"/>
          <w:b/>
          <w:color w:val="C00000"/>
          <w:sz w:val="21"/>
          <w:szCs w:val="21"/>
          <w:u w:val="single" w:color="000000"/>
        </w:rPr>
        <w:t>最有效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的利用。</w:t>
      </w:r>
    </w:p>
    <w:p>
      <w:pPr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3.帮助人们合理地调整生态系统中的能量流动关系,使能量持续高效地流向对人类</w:t>
      </w:r>
      <w:r>
        <w:rPr>
          <w:rFonts w:asciiTheme="majorEastAsia" w:eastAsiaTheme="majorEastAsia" w:hAnsiTheme="majorEastAsia" w:cstheme="majorEastAsia" w:hint="eastAsia"/>
          <w:b/>
          <w:color w:val="C00000"/>
          <w:sz w:val="21"/>
          <w:szCs w:val="21"/>
          <w:u w:val="single" w:color="000000"/>
        </w:rPr>
        <w:t>最有益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的部分。</w:t>
      </w:r>
    </w:p>
    <w:p>
      <w:pPr>
        <w:rPr>
          <w:b w:val="0"/>
          <w:bCs w:val="0"/>
        </w:rPr>
      </w:pPr>
      <w:r>
        <w:rPr>
          <w:b w:val="0"/>
          <w:bCs w:val="0"/>
        </w:rPr>
        <w:t>4</w:t>
      </w:r>
      <w:r>
        <w:rPr>
          <w:rFonts w:hint="eastAsia"/>
          <w:b w:val="0"/>
          <w:bCs w:val="0"/>
        </w:rPr>
        <w:t>.判断下列相关表述的正误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(1)生态系统中能量的初始来源只有太阳能。(</w:t>
      </w: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  <w:lang w:eastAsia="zh-CN"/>
        </w:rPr>
        <w:t>×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)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(2)农业生态系统中，沼渣、沼液作为肥料还田，使能量能够循环利用。(</w:t>
      </w: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  <w:lang w:eastAsia="zh-CN"/>
        </w:rPr>
        <w:t>×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)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(3)所有生态系统中生产者得到的能量必然大于消费者得到的能量。(</w:t>
      </w: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  <w:lang w:eastAsia="zh-CN"/>
        </w:rPr>
        <w:t>×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)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(4)拔去田地中的杂草是人为地调整能量流动的方向，提高生态系统的能量传递效率。(</w:t>
      </w: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  <w:lang w:eastAsia="zh-CN"/>
        </w:rPr>
        <w:t>×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)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(5)研究能量流动，可调整能量流动关系，使生产者固定的能量全部流向人类。(</w:t>
      </w: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  <w:lang w:eastAsia="zh-CN"/>
        </w:rPr>
        <w:t>×</w:t>
      </w:r>
      <w:r>
        <w:rPr>
          <w:rFonts w:asciiTheme="majorEastAsia" w:eastAsiaTheme="majorEastAsia" w:hAnsiTheme="majorEastAsia" w:cstheme="majorEastAsia" w:hint="eastAsia"/>
          <w:sz w:val="21"/>
          <w:szCs w:val="21"/>
        </w:rPr>
        <w:t>)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177165</wp:posOffset>
            </wp:positionV>
            <wp:extent cx="963295" cy="250190"/>
            <wp:effectExtent l="0" t="0" r="8255" b="698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任务二：研究能量流动的实践意义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1.用能量流动的原理，解释谚语“一山不容二虎”隐含的道理。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提示：根据生态系统中能量流动逐级递减的特点和规律可知，营养级越高，可利用的能量就越少，老虎在生态系统中几乎是最高营养级，通过食物链(网)流经老虎的能量已减到很小的程度。因此，老虎的数量将是很少的。故“一山不容二虎”。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2.如果你被困荒岛，要维持更长时间等待救援，要获得更多能量，究竟要采用以下哪种生存策略呢？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A.先吃鸡再吃玉米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B.先吃玉米，然后用一部分玉米喂鸡，吃鸡下的蛋，最后吃鸡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提示：应选A方案。应该先吃鸡，因为从营养级角度来讲，鸡是初级消费者，玉米是生产者，根据能量流动递减可知，如果让鸡吃玉米，玉米的能量最多有20%到鸡的体内，然后人再吃鸡或者鸡蛋的话，获得的能量最多相当于玉米的20%×20%，这种方案中，玉米是生产者，鸡是初级消费者，人是次级消费者，人所获得的能量是最少的，维持时间最短。所以，不如先把鸡吃掉，再吃玉米。</w:t>
      </w:r>
    </w:p>
    <w:p>
      <w:pPr>
        <w:pStyle w:val="PlainText"/>
        <w:tabs>
          <w:tab w:val="left" w:pos="3828"/>
        </w:tabs>
        <w:spacing w:line="360" w:lineRule="auto"/>
        <w:rPr>
          <w:rFonts w:asciiTheme="majorEastAsia" w:eastAsiaTheme="majorEastAsia" w:hAnsiTheme="majorEastAsia" w:cstheme="majorEastAsia" w:hint="eastAsia"/>
          <w:sz w:val="21"/>
          <w:szCs w:val="21"/>
        </w:rPr>
      </w:pPr>
      <w:r>
        <w:rPr>
          <w:rFonts w:asciiTheme="majorEastAsia" w:eastAsiaTheme="majorEastAsia" w:hAnsiTheme="majorEastAsia" w:cstheme="majorEastAsia" w:hint="eastAsia"/>
          <w:sz w:val="21"/>
          <w:szCs w:val="21"/>
        </w:rPr>
        <w:t>3.人们在研究能量流动时，将秸秆作为牲畜饲料，粪便进入沼气池，生产燃料。此过程提高能量的传递效率了吗？</w:t>
      </w:r>
    </w:p>
    <w:p>
      <w:pPr>
        <w:pStyle w:val="PlainText"/>
        <w:tabs>
          <w:tab w:val="left" w:pos="3828"/>
        </w:tabs>
        <w:spacing w:line="360" w:lineRule="auto"/>
        <w:rPr>
          <w:sz w:val="24"/>
        </w:rPr>
      </w:pPr>
      <w:r>
        <w:rPr>
          <w:rFonts w:asciiTheme="majorEastAsia" w:eastAsiaTheme="majorEastAsia" w:hAnsiTheme="majorEastAsia" w:cstheme="majorEastAsia" w:hint="eastAsia"/>
          <w:color w:val="C00000"/>
          <w:sz w:val="21"/>
          <w:szCs w:val="21"/>
        </w:rPr>
        <w:t>提示：没有。以上过程提高了能量的利用率，即人类充分利用了流向分解者的能量，实现了对能量的多级利用，减少了环境污染，但没有提高能量在不同营养级之间的传递效率。</w:t>
      </w:r>
    </w:p>
    <w:p>
      <w:r>
        <w:drawing>
          <wp:inline distT="0" distB="0" distL="114300" distR="114300">
            <wp:extent cx="1019175" cy="238760"/>
            <wp:effectExtent l="0" t="0" r="952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 w:eastAsia="zh-CN"/>
        </w:rPr>
        <w:t>4</w:t>
      </w:r>
      <w:r>
        <w:rPr>
          <w:rFonts w:ascii="Times New Roman" w:hAnsi="Times New Roman" w:cs="Times New Roman"/>
        </w:rPr>
        <w:t>．下列关于生态系统能量流动的原理在实践中的应用的叙述，</w:t>
      </w:r>
      <w:r>
        <w:rPr>
          <w:rFonts w:ascii="Times New Roman" w:hAnsi="Times New Roman" w:cs="Times New Roman" w:hint="eastAsia"/>
        </w:rPr>
        <w:t>错误</w:t>
      </w:r>
      <w:r>
        <w:rPr>
          <w:rFonts w:ascii="Times New Roman" w:hAnsi="Times New Roman" w:cs="Times New Roman"/>
        </w:rPr>
        <w:t>的是(　　)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A．除虫、除草可以让农田生态系统中的能量更多地流向对人类更有益的部分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B．多途径利用农作物可以实现对生态系统中能量的多级利用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C．根据草场能量流动的特点，可以合理确定草场的载畜量，从而保持畜产品的持续高产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桑基鱼塘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的生产方式，在桑、蚕、鱼之间形成良性循环，将提高能量传递效率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color w:val="C00000"/>
        </w:rPr>
      </w:pPr>
      <w:r>
        <w:rPr>
          <w:rFonts w:ascii="Times New Roman" w:eastAsia="黑体" w:hAnsi="Times New Roman" w:cs="Times New Roman"/>
          <w:color w:val="C00000"/>
        </w:rPr>
        <w:t>答案　</w:t>
      </w:r>
      <w:r>
        <w:rPr>
          <w:rFonts w:ascii="Times New Roman" w:hAnsi="Times New Roman" w:cs="Times New Roman"/>
          <w:color w:val="C00000"/>
        </w:rPr>
        <w:t>D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color w:val="C00000"/>
        </w:rPr>
      </w:pPr>
      <w:r>
        <w:rPr>
          <w:rFonts w:ascii="Times New Roman" w:eastAsia="黑体" w:hAnsi="Times New Roman" w:cs="Times New Roman"/>
          <w:color w:val="C00000"/>
        </w:rPr>
        <w:t>解析　</w:t>
      </w:r>
      <w:r>
        <w:rPr>
          <w:rFonts w:hAnsi="宋体" w:cs="Times New Roman"/>
          <w:color w:val="C00000"/>
        </w:rPr>
        <w:t>“</w:t>
      </w:r>
      <w:r>
        <w:rPr>
          <w:rFonts w:ascii="Times New Roman" w:eastAsia="楷体_GB2312" w:hAnsi="Times New Roman" w:cs="Times New Roman"/>
          <w:color w:val="C00000"/>
        </w:rPr>
        <w:t>桑基鱼塘</w:t>
      </w:r>
      <w:r>
        <w:rPr>
          <w:rFonts w:hAnsi="宋体" w:cs="Times New Roman"/>
          <w:color w:val="C00000"/>
        </w:rPr>
        <w:t>”</w:t>
      </w:r>
      <w:r>
        <w:rPr>
          <w:rFonts w:ascii="Times New Roman" w:eastAsia="楷体_GB2312" w:hAnsi="Times New Roman" w:cs="Times New Roman"/>
          <w:color w:val="C00000"/>
        </w:rPr>
        <w:t>的生产方式，在桑、蚕、鱼之间形成良性循环，使能量得到多级利用，提高了整体的能量利用率，但不能提高能量传递效率，D错误。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 w:eastAsia="zh-CN"/>
        </w:rPr>
        <w:t>5</w:t>
      </w:r>
      <w:r>
        <w:rPr>
          <w:rFonts w:ascii="Times New Roman" w:hAnsi="Times New Roman" w:cs="Times New Roman"/>
        </w:rPr>
        <w:t>．茶树菇味道鲜美，常生长在油茶树枯朽的树桩上。某林场尝试在树下套种茶树菇，并用桐树、柳树、杨树脱落的枝叶制作培养基。下列相关叙述正确的是(　　)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A．油茶树枯朽树桩中的能量不属于油茶树的同化量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B．生长在油茶树树桩上的茶树菇属于生态系统中的分解者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C．套种措施可以提高树木和茶树菇对阳光等资源的利用率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D．该林场提高了能量的传递效率，实现了能量的多级利用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color w:val="C00000"/>
        </w:rPr>
      </w:pPr>
      <w:r>
        <w:rPr>
          <w:rFonts w:ascii="Times New Roman" w:eastAsia="黑体" w:hAnsi="Times New Roman" w:cs="Times New Roman"/>
          <w:color w:val="C00000"/>
        </w:rPr>
        <w:t>答案</w:t>
      </w:r>
      <w:r>
        <w:rPr>
          <w:rFonts w:ascii="Times New Roman" w:hAnsi="Times New Roman" w:cs="Times New Roman"/>
          <w:color w:val="C00000"/>
        </w:rPr>
        <w:t>　B</w:t>
      </w:r>
    </w:p>
    <w:p>
      <w:pPr>
        <w:pStyle w:val="PlainText"/>
        <w:tabs>
          <w:tab w:val="left" w:pos="3402"/>
        </w:tabs>
        <w:snapToGrid w:val="0"/>
        <w:spacing w:line="360" w:lineRule="auto"/>
        <w:rPr>
          <w:u w:val="single"/>
        </w:rPr>
      </w:pPr>
      <w:r>
        <w:rPr>
          <w:rFonts w:ascii="Times New Roman" w:eastAsia="黑体" w:hAnsi="Times New Roman" w:cs="Times New Roman"/>
          <w:color w:val="C00000"/>
        </w:rPr>
        <w:t>解析　</w:t>
      </w:r>
      <w:r>
        <w:rPr>
          <w:rFonts w:ascii="Times New Roman" w:eastAsia="楷体_GB2312" w:hAnsi="Times New Roman" w:cs="Times New Roman"/>
          <w:color w:val="C00000"/>
        </w:rPr>
        <w:t>油茶树枯朽树桩中的能量属于油茶树的同化量中流向分解者的部分，A错误；茶树菇属于分解者，不能直接利用阳光，C错误；该林场的做法实现了能量的多级利用，提高了能量的利用率而不是传递效率，D错误。</w:t>
      </w:r>
    </w:p>
    <w:p>
      <w:r>
        <w:drawing>
          <wp:inline distT="0" distB="0" distL="114300" distR="114300">
            <wp:extent cx="1181100" cy="247650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1" w:name="_GoBack"/>
      <w:r>
        <w:rPr>
          <w:rFonts w:ascii="Times New Roman" w:hAnsi="Times New Roman" w:cs="Times New Roman"/>
        </w:rPr>
        <w:drawing>
          <wp:inline distT="0" distB="0" distL="114300" distR="114300">
            <wp:extent cx="3741420" cy="2447290"/>
            <wp:effectExtent l="0" t="0" r="11430" b="1016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r>
        <w:br w:type="page"/>
      </w:r>
      <w:r>
        <w:drawing>
          <wp:inline>
            <wp:extent cx="5918835" cy="7083509"/>
            <wp:docPr id="100037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708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8"/>
      <w:footerReference w:type="default" r:id="rId29"/>
      <w:pgSz w:w="11906" w:h="16838"/>
      <w:pgMar w:top="1440" w:right="1080" w:bottom="1440" w:left="108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sz w:val="21"/>
        <w:szCs w:val="32"/>
      </w:rPr>
    </w:pP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0</wp:posOffset>
          </wp:positionH>
          <wp:positionV relativeFrom="paragraph">
            <wp:posOffset>-495300</wp:posOffset>
          </wp:positionV>
          <wp:extent cx="7561580" cy="865505"/>
          <wp:effectExtent l="0" t="0" r="1270" b="0"/>
          <wp:wrapNone/>
          <wp:docPr id="1620374584" name="图片 1620374584" descr="页眉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74584" name="图片 1620374584" descr="页眉标识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86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4D727EA"/>
    <w:multiLevelType w:val="singleLevel"/>
    <w:tmpl w:val="04D727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BB13FB"/>
    <w:rsid w:val="00201278"/>
    <w:rsid w:val="0031418C"/>
    <w:rsid w:val="00317FDB"/>
    <w:rsid w:val="00380DCD"/>
    <w:rsid w:val="003C00AC"/>
    <w:rsid w:val="004151FC"/>
    <w:rsid w:val="007A44EA"/>
    <w:rsid w:val="00BE7967"/>
    <w:rsid w:val="00C02FC6"/>
    <w:rsid w:val="00EB401A"/>
    <w:rsid w:val="00EC56B9"/>
    <w:rsid w:val="00FC3921"/>
    <w:rsid w:val="09580DAD"/>
    <w:rsid w:val="11E24FD1"/>
    <w:rsid w:val="1B0F78CA"/>
    <w:rsid w:val="1C8A13E1"/>
    <w:rsid w:val="23566E62"/>
    <w:rsid w:val="23B554D1"/>
    <w:rsid w:val="25BB13FB"/>
    <w:rsid w:val="27932404"/>
    <w:rsid w:val="2AFD3F94"/>
    <w:rsid w:val="47986BC5"/>
    <w:rsid w:val="5BDF7B7B"/>
    <w:rsid w:val="5BF84216"/>
    <w:rsid w:val="66A84ADC"/>
    <w:rsid w:val="6D7A1017"/>
    <w:rsid w:val="7942661A"/>
    <w:rsid w:val="7A7949C8"/>
    <w:rsid w:val="7CAD7E20"/>
  </w:rsids>
  <w:docVars>
    <w:docVar w:name="commondata" w:val="eyJoZGlkIjoiMDljOTYyNGVjZjQxYmVhMzlmNzQ2NTFjYWNhMjc3Ym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6">
    <w:name w:val="heading 6"/>
    <w:link w:val="6"/>
    <w:autoRedefine/>
    <w:uiPriority w:val="9"/>
    <w:semiHidden/>
    <w:unhideWhenUsed/>
    <w:qFormat/>
    <w:pPr>
      <w:outlineLvl w:val="5"/>
    </w:pPr>
    <w:rPr>
      <w:rFonts w:ascii="Times New Roman" w:hAnsi="Times New Roman" w:eastAsiaTheme="minorEastAsia" w:cs="Times New Roman"/>
      <w:b/>
      <w:bCs/>
      <w:sz w:val="28"/>
      <w:szCs w:val="28"/>
      <w:lang w:val="en-US" w:eastAsia="zh-CN" w:bidi="ar-SA"/>
    </w:rPr>
  </w:style>
  <w:style w:type="character" w:default="1" w:styleId="DefaultParagraphFont">
    <w:name w:val="Default Paragraph Font"/>
    <w:autoRedefine/>
    <w:uiPriority w:val="1"/>
    <w:semiHidden/>
    <w:unhideWhenUsed/>
    <w:qFormat/>
  </w:style>
  <w:style w:type="table" w:default="1" w:styleId="TableNormal">
    <w:name w:val="Normal Table"/>
    <w:autoRedefine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autoRedefine/>
    <w:qFormat/>
    <w:rPr>
      <w:rFonts w:ascii="宋体" w:eastAsia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6">
    <w:name w:val="标题 6 字符"/>
    <w:basedOn w:val="DefaultParagraphFont"/>
    <w:link w:val="Heading6"/>
    <w:autoRedefine/>
    <w:uiPriority w:val="9"/>
    <w:semiHidden/>
    <w:qFormat/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&#26680;&#24515;&#24402;&#32435;.TIF" TargetMode="External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header" Target="header1.xml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3.png" /><Relationship Id="rId2" Type="http://schemas.openxmlformats.org/officeDocument/2006/relationships/image" Target="media/image24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高尔基体</cp:lastModifiedBy>
  <cp:revision>5</cp:revision>
  <dcterms:created xsi:type="dcterms:W3CDTF">2023-12-01T02:53:00Z</dcterms:created>
  <dcterms:modified xsi:type="dcterms:W3CDTF">2023-12-27T13:12:54Z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