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333D32" w:rsidP="00333D32" w14:paraId="3FD27876" w14:textId="77777777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10782300</wp:posOffset>
            </wp:positionH>
            <wp:positionV relativeFrom="topMargin">
              <wp:posOffset>10223500</wp:posOffset>
            </wp:positionV>
            <wp:extent cx="495300" cy="457200"/>
            <wp:wrapNone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52752322"/>
      <w:bookmarkEnd w:id="0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节 </w:t>
      </w:r>
      <w:r w:rsidRPr="001F22FD">
        <w:rPr>
          <w:rFonts w:ascii="微软雅黑" w:eastAsia="微软雅黑" w:hAnsi="微软雅黑" w:cs="微软雅黑" w:hint="eastAsia"/>
          <w:b/>
          <w:bCs/>
          <w:sz w:val="28"/>
          <w:szCs w:val="28"/>
        </w:rPr>
        <w:t>生态系统的物质循环</w:t>
      </w:r>
    </w:p>
    <w:p w:rsidR="00333D32" w:rsidP="00333D32" w14:paraId="08642A87" w14:textId="2F7CDBB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33D32">
        <w:rPr>
          <w:rFonts w:asciiTheme="majorEastAsia" w:eastAsiaTheme="majorEastAsia" w:hAnsiTheme="majorEastAsia" w:hint="eastAsia"/>
          <w:b/>
          <w:bCs/>
          <w:sz w:val="28"/>
          <w:szCs w:val="28"/>
        </w:rPr>
        <w:t>第2课时　生物富集及探究土壤微生物的分解作用</w:t>
      </w:r>
    </w:p>
    <w:p w:rsidR="003C00AC" w14:paraId="5B3A7131" w14:textId="77777777">
      <w:pPr>
        <w:ind w:firstLine="2940" w:firstLineChars="1400"/>
        <w:rPr>
          <w:rFonts w:asciiTheme="majorEastAsia" w:eastAsiaTheme="majorEastAsia" w:hAnsiTheme="majorEastAsia" w:cstheme="majorEastAsia"/>
          <w:b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班级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 学号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 姓名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</w:t>
      </w:r>
    </w:p>
    <w:p w:rsidR="003C00AC" w14:paraId="6C1558B6" w14:textId="77777777">
      <w:r>
        <w:rPr>
          <w:noProof/>
        </w:rPr>
        <w:drawing>
          <wp:inline distT="0" distB="0" distL="114300" distR="114300">
            <wp:extent cx="1104900" cy="29527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48" w:rsidRPr="00991D48" w:rsidP="00991D48" w14:paraId="1CFABC12" w14:textId="77777777">
      <w:pPr>
        <w:spacing w:line="360" w:lineRule="auto"/>
        <w:rPr>
          <w:rFonts w:asciiTheme="majorEastAsia" w:eastAsiaTheme="majorEastAsia" w:hAnsiTheme="majorEastAsia"/>
        </w:rPr>
      </w:pPr>
      <w:r w:rsidRPr="00991D48">
        <w:rPr>
          <w:rFonts w:asciiTheme="majorEastAsia" w:eastAsiaTheme="majorEastAsia" w:hAnsiTheme="majorEastAsia" w:hint="eastAsia"/>
        </w:rPr>
        <w:t>1.通过分析生物富集的过程，说明生物富集的危害，认同应采取措施减少危害。</w:t>
      </w:r>
    </w:p>
    <w:p w:rsidR="003C00AC" w:rsidRPr="00991D48" w:rsidP="00991D48" w14:paraId="09F93E40" w14:textId="143A55D0">
      <w:pPr>
        <w:spacing w:line="360" w:lineRule="auto"/>
        <w:rPr>
          <w:rFonts w:asciiTheme="majorEastAsia" w:eastAsiaTheme="majorEastAsia" w:hAnsiTheme="majorEastAsia"/>
        </w:rPr>
      </w:pPr>
      <w:r w:rsidRPr="00991D48">
        <w:rPr>
          <w:rFonts w:asciiTheme="majorEastAsia" w:eastAsiaTheme="majorEastAsia" w:hAnsiTheme="majorEastAsia" w:hint="eastAsia"/>
        </w:rPr>
        <w:t>2.尝试探究土壤微生物的分解作用。</w:t>
      </w:r>
    </w:p>
    <w:p w:rsidR="003C00AC" w14:paraId="301AF6AE" w14:textId="6E1174E5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目标一、 </w:t>
      </w:r>
      <w:r w:rsidRPr="00991D48" w:rsidR="00991D48">
        <w:rPr>
          <w:rFonts w:ascii="黑体" w:eastAsia="黑体" w:hAnsi="黑体" w:cs="Times New Roman" w:hint="eastAsia"/>
          <w:b/>
          <w:sz w:val="24"/>
          <w:szCs w:val="24"/>
        </w:rPr>
        <w:t>生物富集</w:t>
      </w:r>
    </w:p>
    <w:p w:rsidR="003C00AC" w14:paraId="15764AC1" w14:textId="77777777">
      <w:pPr>
        <w:pStyle w:val="PlainText"/>
        <w:tabs>
          <w:tab w:val="left" w:pos="3402"/>
        </w:tabs>
        <w:snapToGrid w:val="0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47420" cy="243205"/>
            <wp:effectExtent l="0" t="0" r="5080" b="4445"/>
            <wp:docPr id="221" name="自主学习彩.jpg" descr="id:2147506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自主学习彩.jpg" descr="id:21475060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7966" cy="24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01"/>
        <w:gridCol w:w="789"/>
        <w:gridCol w:w="8456"/>
      </w:tblGrid>
      <w:tr w14:paraId="61014B64" w14:textId="77777777" w:rsidTr="0040170D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Look w:val="04A0"/>
        </w:tblPrEx>
        <w:trPr>
          <w:jc w:val="center"/>
        </w:trPr>
        <w:tc>
          <w:tcPr>
            <w:tcW w:w="496" w:type="dxa"/>
            <w:vMerge w:val="restart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3B75736B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概念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23D99E53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来源</w:t>
            </w:r>
          </w:p>
        </w:tc>
        <w:tc>
          <w:tcPr>
            <w:tcW w:w="8362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6E9B9072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周围环境吸收、积蓄</w:t>
            </w:r>
          </w:p>
        </w:tc>
      </w:tr>
      <w:tr w14:paraId="2880B3BF" w14:textId="77777777" w:rsidTr="0040170D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496" w:type="dxa"/>
            <w:vMerge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09B61D6A" w14:textId="77777777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2A931612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物质</w:t>
            </w:r>
          </w:p>
        </w:tc>
        <w:tc>
          <w:tcPr>
            <w:tcW w:w="8362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67C26A9B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某种元素或</w:t>
            </w:r>
            <w:r w:rsidRPr="00991D48">
              <w:rPr>
                <w:rFonts w:asciiTheme="majorEastAsia" w:eastAsiaTheme="majorEastAsia" w:hAnsiTheme="majorEastAsia"/>
                <w:b/>
                <w:color w:val="FF0000"/>
                <w:szCs w:val="21"/>
                <w:u w:val="single" w:color="000000"/>
              </w:rPr>
              <w:t>难以降解</w:t>
            </w:r>
            <w:r w:rsidRPr="00991D48">
              <w:rPr>
                <w:rFonts w:asciiTheme="majorEastAsia" w:eastAsiaTheme="majorEastAsia" w:hAnsiTheme="majorEastAsia"/>
                <w:szCs w:val="21"/>
              </w:rPr>
              <w:t>的化合物</w:t>
            </w:r>
          </w:p>
        </w:tc>
      </w:tr>
      <w:tr w14:paraId="0FA47C8E" w14:textId="77777777" w:rsidTr="0040170D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496" w:type="dxa"/>
            <w:vMerge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6C7C6E64" w14:textId="77777777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7CA3E185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结果</w:t>
            </w:r>
          </w:p>
        </w:tc>
        <w:tc>
          <w:tcPr>
            <w:tcW w:w="8362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360F9A70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体内浓度超过环境浓度</w:t>
            </w:r>
          </w:p>
        </w:tc>
      </w:tr>
      <w:tr w14:paraId="50C6ABD5" w14:textId="77777777" w:rsidTr="0040170D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496" w:type="dxa"/>
            <w:tcMar>
              <w:left w:w="0" w:type="dxa"/>
              <w:right w:w="0" w:type="dxa"/>
            </w:tcMar>
            <w:vAlign w:val="center"/>
          </w:tcPr>
          <w:p w:rsidR="00991D48" w:rsidRPr="00991D48" w:rsidP="0040170D" w14:paraId="344AFA1A" w14:textId="7777777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/>
                <w:szCs w:val="21"/>
              </w:rPr>
              <w:t>特点</w:t>
            </w:r>
          </w:p>
        </w:tc>
        <w:tc>
          <w:tcPr>
            <w:tcW w:w="9142" w:type="dxa"/>
            <w:gridSpan w:val="2"/>
            <w:tcMar>
              <w:left w:w="52" w:type="dxa"/>
              <w:right w:w="52" w:type="dxa"/>
            </w:tcMar>
            <w:vAlign w:val="center"/>
          </w:tcPr>
          <w:p w:rsidR="00991D48" w:rsidRPr="00991D48" w:rsidP="0040170D" w14:paraId="3B6978DC" w14:textId="77777777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 w:cs="宋体" w:hint="eastAsia"/>
                <w:szCs w:val="21"/>
              </w:rPr>
              <w:t>①</w:t>
            </w:r>
            <w:r w:rsidRPr="00991D48">
              <w:rPr>
                <w:rFonts w:asciiTheme="majorEastAsia" w:eastAsiaTheme="majorEastAsia" w:hAnsiTheme="majorEastAsia"/>
                <w:szCs w:val="21"/>
              </w:rPr>
              <w:t>沿</w:t>
            </w:r>
            <w:r w:rsidRPr="00991D48">
              <w:rPr>
                <w:rFonts w:asciiTheme="majorEastAsia" w:eastAsiaTheme="majorEastAsia" w:hAnsiTheme="majorEastAsia"/>
                <w:b/>
                <w:color w:val="FF0000"/>
                <w:szCs w:val="21"/>
                <w:u w:val="single" w:color="000000"/>
              </w:rPr>
              <w:t>食物链</w:t>
            </w:r>
            <w:r w:rsidRPr="00991D48">
              <w:rPr>
                <w:rFonts w:asciiTheme="majorEastAsia" w:eastAsiaTheme="majorEastAsia" w:hAnsiTheme="majorEastAsia"/>
                <w:szCs w:val="21"/>
              </w:rPr>
              <w:t>在生物体内聚集,最终积累在食物链的</w:t>
            </w:r>
            <w:r w:rsidRPr="00991D48">
              <w:rPr>
                <w:rFonts w:asciiTheme="majorEastAsia" w:eastAsiaTheme="majorEastAsia" w:hAnsiTheme="majorEastAsia"/>
                <w:b/>
                <w:color w:val="FF0000"/>
                <w:szCs w:val="21"/>
                <w:u w:val="single" w:color="000000"/>
              </w:rPr>
              <w:t>顶端</w:t>
            </w:r>
          </w:p>
          <w:p w:rsidR="00991D48" w:rsidRPr="00991D48" w:rsidP="0040170D" w14:paraId="584E595A" w14:textId="77777777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991D48">
              <w:rPr>
                <w:rFonts w:asciiTheme="majorEastAsia" w:eastAsiaTheme="majorEastAsia" w:hAnsiTheme="majorEastAsia" w:cs="宋体" w:hint="eastAsia"/>
                <w:szCs w:val="21"/>
              </w:rPr>
              <w:t>②</w:t>
            </w:r>
            <w:r w:rsidRPr="00991D48">
              <w:rPr>
                <w:rFonts w:asciiTheme="majorEastAsia" w:eastAsiaTheme="majorEastAsia" w:hAnsiTheme="majorEastAsia"/>
                <w:szCs w:val="21"/>
              </w:rPr>
              <w:t>具有</w:t>
            </w:r>
            <w:r w:rsidRPr="00991D48">
              <w:rPr>
                <w:rFonts w:asciiTheme="majorEastAsia" w:eastAsiaTheme="majorEastAsia" w:hAnsiTheme="majorEastAsia"/>
                <w:b/>
                <w:color w:val="FF0000"/>
                <w:szCs w:val="21"/>
                <w:u w:val="single" w:color="000000"/>
              </w:rPr>
              <w:t>全球性</w:t>
            </w:r>
          </w:p>
        </w:tc>
      </w:tr>
    </w:tbl>
    <w:p w:rsidR="00201278" w:rsidRPr="00991D48" w14:paraId="7A6F76EB" w14:textId="77777777">
      <w:pPr>
        <w:rPr>
          <w:rFonts w:asciiTheme="majorEastAsia" w:eastAsiaTheme="majorEastAsia" w:hAnsiTheme="majorEastAsia"/>
          <w:szCs w:val="21"/>
        </w:rPr>
      </w:pPr>
    </w:p>
    <w:p w:rsidR="003C00AC" w:rsidRPr="00991D48" w14:paraId="37805A4E" w14:textId="2C827E0A">
      <w:r w:rsidRPr="00991D48">
        <w:rPr>
          <w:rFonts w:hint="eastAsia"/>
        </w:rPr>
        <w:t>判断下列相关表述的正误</w:t>
      </w:r>
    </w:p>
    <w:p w:rsidR="00991D48" w:rsidRPr="00991D48" w:rsidP="00991D48" w14:paraId="3EC1E057" w14:textId="6C786310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991D48">
        <w:rPr>
          <w:rFonts w:asciiTheme="majorEastAsia" w:eastAsiaTheme="majorEastAsia" w:hAnsiTheme="majorEastAsia"/>
          <w:szCs w:val="21"/>
        </w:rPr>
        <w:t>(</w:t>
      </w:r>
      <w:r>
        <w:rPr>
          <w:rFonts w:asciiTheme="majorEastAsia" w:eastAsiaTheme="majorEastAsia" w:hAnsiTheme="majorEastAsia"/>
          <w:szCs w:val="21"/>
        </w:rPr>
        <w:t>1</w:t>
      </w:r>
      <w:r w:rsidRPr="00991D48">
        <w:rPr>
          <w:rFonts w:asciiTheme="majorEastAsia" w:eastAsiaTheme="majorEastAsia" w:hAnsiTheme="majorEastAsia"/>
          <w:szCs w:val="21"/>
        </w:rPr>
        <w:t>)营养级越高的生物，其体内富集的有害物质的浓度越高(</w:t>
      </w:r>
      <w:r w:rsidRPr="00991D48">
        <w:rPr>
          <w:rFonts w:asciiTheme="majorEastAsia" w:eastAsiaTheme="majorEastAsia" w:hAnsiTheme="majorEastAsia"/>
          <w:color w:val="FF0000"/>
          <w:szCs w:val="21"/>
        </w:rPr>
        <w:t>√</w:t>
      </w:r>
      <w:r w:rsidRPr="00991D48">
        <w:rPr>
          <w:rFonts w:asciiTheme="majorEastAsia" w:eastAsiaTheme="majorEastAsia" w:hAnsiTheme="majorEastAsia"/>
          <w:szCs w:val="21"/>
        </w:rPr>
        <w:t>)</w:t>
      </w:r>
    </w:p>
    <w:p w:rsidR="00991D48" w:rsidRPr="00991D48" w:rsidP="00991D48" w14:paraId="764DD7AF" w14:textId="0831C894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991D48">
        <w:rPr>
          <w:rFonts w:asciiTheme="majorEastAsia" w:eastAsiaTheme="majorEastAsia" w:hAnsiTheme="majorEastAsia"/>
          <w:szCs w:val="21"/>
        </w:rPr>
        <w:t>(</w:t>
      </w:r>
      <w:r>
        <w:rPr>
          <w:rFonts w:asciiTheme="majorEastAsia" w:eastAsiaTheme="majorEastAsia" w:hAnsiTheme="majorEastAsia"/>
          <w:szCs w:val="21"/>
        </w:rPr>
        <w:t>2</w:t>
      </w:r>
      <w:r w:rsidRPr="00991D48">
        <w:rPr>
          <w:rFonts w:asciiTheme="majorEastAsia" w:eastAsiaTheme="majorEastAsia" w:hAnsiTheme="majorEastAsia"/>
          <w:szCs w:val="21"/>
        </w:rPr>
        <w:t>)营养级越高,所含铅、汞等重金属的总量越多。</w:t>
      </w:r>
      <w:r w:rsidRPr="00991D48">
        <w:rPr>
          <w:rFonts w:asciiTheme="majorEastAsia" w:eastAsiaTheme="majorEastAsia" w:hAnsiTheme="majorEastAsia"/>
          <w:szCs w:val="21"/>
        </w:rPr>
        <w:tab/>
        <w:t>(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991D48">
        <w:rPr>
          <w:rFonts w:asciiTheme="majorEastAsia" w:eastAsiaTheme="majorEastAsia" w:hAnsiTheme="majorEastAsia"/>
          <w:color w:val="FF0000"/>
          <w:szCs w:val="21"/>
        </w:rPr>
        <w:t>×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991D48">
        <w:rPr>
          <w:rFonts w:asciiTheme="majorEastAsia" w:eastAsiaTheme="majorEastAsia" w:hAnsiTheme="majorEastAsia"/>
          <w:szCs w:val="21"/>
        </w:rPr>
        <w:t>)</w:t>
      </w:r>
    </w:p>
    <w:p w:rsidR="00201278" w:rsidRPr="00991D48" w:rsidP="00991D48" w14:paraId="2DB4C925" w14:textId="0CFD14B5">
      <w:pPr>
        <w:spacing w:line="360" w:lineRule="auto"/>
        <w:rPr>
          <w:rFonts w:asciiTheme="majorEastAsia" w:eastAsiaTheme="majorEastAsia" w:hAnsiTheme="majorEastAsia" w:hint="eastAsia"/>
          <w:szCs w:val="21"/>
        </w:rPr>
      </w:pPr>
      <w:r w:rsidRPr="00991D48">
        <w:rPr>
          <w:rFonts w:asciiTheme="majorEastAsia" w:eastAsiaTheme="majorEastAsia" w:hAnsiTheme="majorEastAsia"/>
          <w:szCs w:val="21"/>
        </w:rPr>
        <w:t>(</w:t>
      </w:r>
      <w:r>
        <w:rPr>
          <w:rFonts w:asciiTheme="majorEastAsia" w:eastAsiaTheme="majorEastAsia" w:hAnsiTheme="majorEastAsia"/>
          <w:szCs w:val="21"/>
        </w:rPr>
        <w:t>3</w:t>
      </w:r>
      <w:r w:rsidRPr="00991D48">
        <w:rPr>
          <w:rFonts w:asciiTheme="majorEastAsia" w:eastAsiaTheme="majorEastAsia" w:hAnsiTheme="majorEastAsia"/>
          <w:szCs w:val="21"/>
        </w:rPr>
        <w:t>)物质循环和生物富集都具有全球性的特点。</w:t>
      </w:r>
      <w:r w:rsidRPr="00991D48">
        <w:rPr>
          <w:rFonts w:asciiTheme="majorEastAsia" w:eastAsiaTheme="majorEastAsia" w:hAnsiTheme="majorEastAsia"/>
          <w:szCs w:val="21"/>
        </w:rPr>
        <w:tab/>
        <w:t>(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991D48">
        <w:rPr>
          <w:rFonts w:asciiTheme="majorEastAsia" w:eastAsiaTheme="majorEastAsia" w:hAnsiTheme="majorEastAsia"/>
          <w:color w:val="FF0000"/>
          <w:szCs w:val="21"/>
        </w:rPr>
        <w:t>√</w:t>
      </w:r>
      <w:r w:rsidRPr="00991D48">
        <w:rPr>
          <w:rFonts w:asciiTheme="majorEastAsia" w:eastAsiaTheme="majorEastAsia" w:hAnsiTheme="majorEastAsia"/>
          <w:szCs w:val="21"/>
        </w:rPr>
        <w:t>)</w:t>
      </w:r>
      <w:r>
        <w:rPr>
          <w:rFonts w:asciiTheme="majorEastAsia" w:eastAsiaTheme="majorEastAsia" w:hAnsiTheme="majorEastAsia"/>
          <w:szCs w:val="21"/>
        </w:rPr>
        <w:t xml:space="preserve"> </w:t>
      </w:r>
    </w:p>
    <w:p w:rsidR="003C00AC" w14:paraId="52153C19" w14:textId="7777777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76835</wp:posOffset>
            </wp:positionV>
            <wp:extent cx="963295" cy="250190"/>
            <wp:effectExtent l="0" t="0" r="8255" b="6985"/>
            <wp:wrapSquare wrapText="bothSides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0AC" w14:paraId="13AF7C27" w14:textId="77777777">
      <w:pPr>
        <w:rPr>
          <w:sz w:val="24"/>
        </w:rPr>
      </w:pPr>
    </w:p>
    <w:p w:rsidR="003C00AC" w14:paraId="4E3A9B51" w14:textId="53D9A559">
      <w:pPr>
        <w:rPr>
          <w:rFonts w:ascii="宋体" w:eastAsia="宋体" w:hAnsi="宋体" w:cs="宋体"/>
          <w:b/>
          <w:bCs/>
          <w:color w:val="000000" w:themeColor="text1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</w:rPr>
        <w:t>任务</w:t>
      </w:r>
      <w:r w:rsidR="00991D48"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</w:rPr>
        <w:t xml:space="preserve"> </w:t>
      </w:r>
      <w:r w:rsidRPr="00991D48" w:rsidR="00991D48"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</w:rPr>
        <w:t>分析生物富集现象及其成因</w:t>
      </w:r>
    </w:p>
    <w:p w:rsidR="00991D48" w:rsidRPr="00991D48" w:rsidP="00991D48" w14:paraId="262696D7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1.如图所示为DDT通过某条食物链的积累过程(单位：mg/kg)。</w:t>
      </w:r>
    </w:p>
    <w:p w:rsidR="00991D48" w:rsidRPr="00991D48" w:rsidP="00991D48" w14:paraId="31757B1E" w14:textId="77777777">
      <w:pPr>
        <w:pStyle w:val="PlainText"/>
        <w:tabs>
          <w:tab w:val="left" w:pos="3828"/>
        </w:tabs>
        <w:spacing w:line="360" w:lineRule="auto"/>
        <w:jc w:val="center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  <w:noProof/>
        </w:rPr>
        <w:drawing>
          <wp:inline distT="0" distB="0" distL="0" distR="0">
            <wp:extent cx="2487295" cy="1828800"/>
            <wp:effectExtent l="0" t="0" r="0" b="0"/>
            <wp:docPr id="18" name="图片 14" descr="说明: W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说明: W2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48" w:rsidRPr="00991D48" w:rsidP="00991D48" w14:paraId="0300EC8B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(1)请写出图中所示食物链：</w:t>
      </w:r>
      <w:r w:rsidRPr="00991D48">
        <w:rPr>
          <w:rFonts w:asciiTheme="majorEastAsia" w:eastAsiaTheme="majorEastAsia" w:hAnsiTheme="majorEastAsia" w:cstheme="minorBidi"/>
          <w:b/>
          <w:color w:val="FF0000"/>
          <w:u w:val="single" w:color="000000"/>
        </w:rPr>
        <w:t>浮游生物→小</w:t>
      </w:r>
      <w:r w:rsidRPr="00991D48">
        <w:rPr>
          <w:rFonts w:asciiTheme="majorEastAsia" w:eastAsiaTheme="majorEastAsia" w:hAnsiTheme="majorEastAsia" w:cstheme="minorBidi" w:hint="eastAsia"/>
          <w:b/>
          <w:color w:val="FF0000"/>
          <w:u w:val="single" w:color="000000"/>
        </w:rPr>
        <w:t>鱼→大鱼→鱼鹰</w:t>
      </w:r>
      <w:r w:rsidRPr="00991D48">
        <w:rPr>
          <w:rFonts w:asciiTheme="majorEastAsia" w:eastAsiaTheme="majorEastAsia" w:hAnsiTheme="majorEastAsia" w:cs="Times New Roman"/>
        </w:rPr>
        <w:t>。</w:t>
      </w:r>
    </w:p>
    <w:p w:rsidR="00991D48" w:rsidRPr="00991D48" w:rsidP="00991D48" w14:paraId="557F3E47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(2)图中生物体内DDT浓度</w:t>
      </w:r>
      <w:r w:rsidRPr="00991D48">
        <w:rPr>
          <w:rFonts w:asciiTheme="majorEastAsia" w:eastAsiaTheme="majorEastAsia" w:hAnsiTheme="majorEastAsia" w:cstheme="minorBidi"/>
          <w:b/>
          <w:color w:val="FF0000"/>
          <w:u w:val="single" w:color="000000"/>
        </w:rPr>
        <w:t>高于</w:t>
      </w:r>
      <w:r w:rsidRPr="00991D48">
        <w:rPr>
          <w:rFonts w:asciiTheme="majorEastAsia" w:eastAsiaTheme="majorEastAsia" w:hAnsiTheme="majorEastAsia" w:cs="Times New Roman"/>
        </w:rPr>
        <w:t>(填“高于”或“低于”)水体中DDT的浓度，这种现象称为</w:t>
      </w:r>
      <w:r w:rsidRPr="00991D48">
        <w:rPr>
          <w:rFonts w:asciiTheme="majorEastAsia" w:eastAsiaTheme="majorEastAsia" w:hAnsiTheme="majorEastAsia" w:cstheme="minorBidi"/>
          <w:b/>
          <w:color w:val="FF0000"/>
          <w:u w:val="single" w:color="000000"/>
        </w:rPr>
        <w:t>生物富集</w:t>
      </w:r>
      <w:r w:rsidRPr="00991D48">
        <w:rPr>
          <w:rFonts w:asciiTheme="majorEastAsia" w:eastAsiaTheme="majorEastAsia" w:hAnsiTheme="majorEastAsia" w:cs="Times New Roman"/>
        </w:rPr>
        <w:t>。</w:t>
      </w:r>
    </w:p>
    <w:p w:rsidR="00991D48" w:rsidRPr="00991D48" w:rsidP="00991D48" w14:paraId="0D8502F7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(3)比较该食物链中各营养级的DDT浓度：</w:t>
      </w:r>
      <w:r w:rsidRPr="00991D48">
        <w:rPr>
          <w:rFonts w:asciiTheme="majorEastAsia" w:eastAsiaTheme="majorEastAsia" w:hAnsiTheme="majorEastAsia" w:cstheme="minorBidi"/>
          <w:b/>
          <w:color w:val="FF0000"/>
          <w:u w:val="single" w:color="000000"/>
        </w:rPr>
        <w:t>浮游生物(第一营养级)＜小鱼(第二营养级)＜大鱼(第三营养级)&lt;鱼鹰(第四营养级)</w:t>
      </w:r>
      <w:r w:rsidRPr="00991D48">
        <w:rPr>
          <w:rFonts w:asciiTheme="majorEastAsia" w:eastAsiaTheme="majorEastAsia" w:hAnsiTheme="majorEastAsia" w:cs="Times New Roman"/>
        </w:rPr>
        <w:t>，由此可得出的结论是</w:t>
      </w:r>
      <w:r w:rsidRPr="00991D48">
        <w:rPr>
          <w:rFonts w:asciiTheme="majorEastAsia" w:eastAsiaTheme="majorEastAsia" w:hAnsiTheme="majorEastAsia" w:cstheme="minorBidi"/>
          <w:b/>
          <w:color w:val="FF0000"/>
          <w:u w:val="single" w:color="000000"/>
        </w:rPr>
        <w:t>DDT在生物体内的浓度随着营养级的提高而逐渐增高</w:t>
      </w:r>
      <w:r w:rsidRPr="00991D48">
        <w:rPr>
          <w:rFonts w:asciiTheme="majorEastAsia" w:eastAsiaTheme="majorEastAsia" w:hAnsiTheme="majorEastAsia" w:cs="Times New Roman"/>
        </w:rPr>
        <w:t>。</w:t>
      </w:r>
    </w:p>
    <w:p w:rsidR="00991D48" w:rsidRPr="00991D48" w:rsidP="00991D48" w14:paraId="42CF67B1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(4)DDT在生物体内会产生富集的原因：</w:t>
      </w:r>
      <w:r w:rsidRPr="00991D48">
        <w:rPr>
          <w:rFonts w:asciiTheme="majorEastAsia" w:eastAsiaTheme="majorEastAsia" w:hAnsiTheme="majorEastAsia" w:cstheme="minorBidi"/>
          <w:b/>
          <w:color w:val="FF0000"/>
          <w:u w:val="single" w:color="000000"/>
        </w:rPr>
        <w:t>DDT是生物体难以降解</w:t>
      </w:r>
      <w:r w:rsidRPr="00991D48">
        <w:rPr>
          <w:rFonts w:asciiTheme="majorEastAsia" w:eastAsiaTheme="majorEastAsia" w:hAnsiTheme="majorEastAsia" w:cstheme="minorBidi" w:hint="eastAsia"/>
          <w:b/>
          <w:color w:val="FF0000"/>
          <w:u w:val="single" w:color="000000"/>
        </w:rPr>
        <w:t>的化合物且不易排出</w:t>
      </w:r>
      <w:r w:rsidRPr="00991D48">
        <w:rPr>
          <w:rFonts w:asciiTheme="majorEastAsia" w:eastAsiaTheme="majorEastAsia" w:hAnsiTheme="majorEastAsia" w:cs="Times New Roman"/>
        </w:rPr>
        <w:t>。</w:t>
      </w:r>
    </w:p>
    <w:p w:rsidR="00991D48" w:rsidRPr="00991D48" w:rsidP="00991D48" w14:paraId="29C9C05A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(5)还有哪些有害物质也有与DDT类似的现象？</w:t>
      </w:r>
    </w:p>
    <w:p w:rsidR="00991D48" w:rsidRPr="00991D48" w:rsidP="00991D48" w14:paraId="3BE50860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  <w:color w:val="FF0000"/>
        </w:rPr>
      </w:pPr>
      <w:r w:rsidRPr="00991D48">
        <w:rPr>
          <w:rFonts w:asciiTheme="majorEastAsia" w:eastAsiaTheme="majorEastAsia" w:hAnsiTheme="majorEastAsia" w:cs="Times New Roman"/>
          <w:color w:val="FF0000"/>
        </w:rPr>
        <w:t>提示：铅、镉、汞等重金属，六六六等人工合成的有机化合物及一些放射性物质。</w:t>
      </w:r>
    </w:p>
    <w:p w:rsidR="00991D48" w:rsidRPr="00991D48" w:rsidP="00991D48" w14:paraId="5C7F0FE2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(6)生物富集现象也有全球性吗？说出你的理由。</w:t>
      </w:r>
    </w:p>
    <w:p w:rsidR="00991D48" w:rsidRPr="00991D48" w:rsidP="00991D48" w14:paraId="1191361C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  <w:color w:val="FF0000"/>
        </w:rPr>
      </w:pPr>
      <w:r w:rsidRPr="00991D48">
        <w:rPr>
          <w:rFonts w:asciiTheme="majorEastAsia" w:eastAsiaTheme="majorEastAsia" w:hAnsiTheme="majorEastAsia" w:cs="Times New Roman"/>
          <w:color w:val="FF0000"/>
        </w:rPr>
        <w:t>提示：它们可通过大气、水和生物迁移等途径扩散到世界各地，因此具有全球性。</w:t>
      </w:r>
    </w:p>
    <w:p w:rsidR="00991D48" w:rsidRPr="00991D48" w:rsidP="00991D48" w14:paraId="0AD57DF5" w14:textId="77777777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/>
        </w:rPr>
      </w:pPr>
      <w:r w:rsidRPr="00991D48">
        <w:rPr>
          <w:rFonts w:asciiTheme="majorEastAsia" w:eastAsiaTheme="majorEastAsia" w:hAnsiTheme="majorEastAsia" w:cs="Times New Roman"/>
        </w:rPr>
        <w:t>(7)如何有效地减少生物富集现象？</w:t>
      </w:r>
    </w:p>
    <w:p w:rsidR="003C00AC" w:rsidRPr="00991D48" w:rsidP="00991D48" w14:paraId="23B3331F" w14:textId="25BD3CE2"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="Times New Roman" w:hint="eastAsia"/>
          <w:color w:val="FF0000"/>
        </w:rPr>
      </w:pPr>
      <w:r w:rsidRPr="00991D48">
        <w:rPr>
          <w:rFonts w:asciiTheme="majorEastAsia" w:eastAsiaTheme="majorEastAsia" w:hAnsiTheme="majorEastAsia" w:cs="Times New Roman"/>
          <w:color w:val="FF0000"/>
        </w:rPr>
        <w:t>提示：合理利用资源，减少排放，实施垃圾分类，种植能吸收有害重金属元素的植物等。</w:t>
      </w:r>
    </w:p>
    <w:p w:rsidR="003C00AC" w14:paraId="2CBCF8B1" w14:textId="77777777">
      <w:r>
        <w:rPr>
          <w:noProof/>
        </w:rPr>
        <w:drawing>
          <wp:inline distT="0" distB="0" distL="114300" distR="114300">
            <wp:extent cx="1019175" cy="27622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4F" w:rsidP="0058554F" w14:paraId="6952FB15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C43F23">
        <w:rPr>
          <w:rFonts w:ascii="Times New Roman" w:eastAsia="楷体_GB2312" w:hAnsi="Times New Roman" w:cs="Times New Roman"/>
        </w:rPr>
        <w:t>2023·</w:t>
      </w:r>
      <w:r>
        <w:rPr>
          <w:rFonts w:ascii="Times New Roman" w:eastAsia="楷体_GB2312" w:hAnsi="Times New Roman" w:cs="Times New Roman" w:hint="eastAsia"/>
        </w:rPr>
        <w:t>浙江绍兴</w:t>
      </w:r>
      <w:r w:rsidRPr="00C43F23">
        <w:rPr>
          <w:rFonts w:ascii="Times New Roman" w:eastAsia="楷体_GB2312" w:hAnsi="Times New Roman" w:cs="Times New Roman"/>
        </w:rPr>
        <w:t>高二期末</w:t>
      </w:r>
      <w:r>
        <w:rPr>
          <w:rFonts w:ascii="Times New Roman" w:eastAsia="楷体_GB2312" w:hAnsi="Times New Roman" w:cs="Times New Roman"/>
        </w:rPr>
        <w:t>)</w:t>
      </w:r>
      <w:r w:rsidRPr="00C43F23">
        <w:rPr>
          <w:rFonts w:ascii="Times New Roman" w:hAnsi="Times New Roman" w:cs="Times New Roman"/>
        </w:rPr>
        <w:t>在煤燃烧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有色金属冶炼过程中铅会以微小颗粒被排放进入大气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然后沉降在土壤和植物表面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而</w:t>
      </w:r>
      <w:r w:rsidRPr="00C43F23">
        <w:rPr>
          <w:rFonts w:ascii="Times New Roman" w:hAnsi="Times New Roman" w:cs="Times New Roman"/>
        </w:rPr>
        <w:t>铅进入</w:t>
      </w:r>
      <w:r w:rsidRPr="00C43F23">
        <w:rPr>
          <w:rFonts w:ascii="Times New Roman" w:hAnsi="Times New Roman" w:cs="Times New Roman"/>
        </w:rPr>
        <w:t>植物和动物体内后将不易被排出</w:t>
      </w:r>
      <w:r>
        <w:rPr>
          <w:rFonts w:ascii="Times New Roman" w:hAnsi="Times New Roman" w:cs="Times New Roman"/>
        </w:rPr>
        <w:t>。</w:t>
      </w:r>
      <w:r w:rsidRPr="00C43F23">
        <w:rPr>
          <w:rFonts w:ascii="Times New Roman" w:hAnsi="Times New Roman" w:cs="Times New Roman"/>
        </w:rPr>
        <w:t>下列叙述错误的是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58554F" w:rsidP="0058554F" w14:paraId="2F773F8E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铅能沿</w:t>
      </w:r>
      <w:r w:rsidRPr="00C43F23">
        <w:rPr>
          <w:rFonts w:ascii="Times New Roman" w:hAnsi="Times New Roman" w:cs="Times New Roman"/>
        </w:rPr>
        <w:t>食物链在生物体内聚集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营养级越高的</w:t>
      </w:r>
      <w:r w:rsidRPr="00C43F23">
        <w:rPr>
          <w:rFonts w:ascii="Times New Roman" w:hAnsi="Times New Roman" w:cs="Times New Roman"/>
        </w:rPr>
        <w:t>生物体内铅含量</w:t>
      </w:r>
      <w:r w:rsidRPr="00C43F23">
        <w:rPr>
          <w:rFonts w:ascii="Times New Roman" w:hAnsi="Times New Roman" w:cs="Times New Roman"/>
        </w:rPr>
        <w:t>越高</w:t>
      </w:r>
    </w:p>
    <w:p w:rsidR="0058554F" w:rsidP="0058554F" w14:paraId="0CCDE5C8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铅随大气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水和生物迁移等途径扩散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生态系统中铅循环具有全球性</w:t>
      </w:r>
    </w:p>
    <w:p w:rsidR="0058554F" w:rsidP="0058554F" w14:paraId="51F4F02A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铅通过</w:t>
      </w:r>
      <w:r w:rsidRPr="00C43F23">
        <w:rPr>
          <w:rFonts w:ascii="Times New Roman" w:hAnsi="Times New Roman" w:cs="Times New Roman"/>
        </w:rPr>
        <w:t>动植物呼吸作用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分解者分解作用和化石燃料燃烧等返回非生物环境</w:t>
      </w:r>
    </w:p>
    <w:p w:rsidR="0058554F" w:rsidP="0058554F" w14:paraId="3CAE522D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减少化石燃料的燃烧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开发清洁能源是减少铅的生物富集现象的有效措施</w:t>
      </w:r>
    </w:p>
    <w:p w:rsidR="0058554F" w:rsidRPr="0058554F" w:rsidP="0058554F" w14:paraId="069356CD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 w:rsidRPr="0058554F">
        <w:rPr>
          <w:rFonts w:ascii="Times New Roman" w:eastAsia="黑体" w:hAnsi="Times New Roman" w:cs="Times New Roman"/>
          <w:color w:val="FF0000"/>
        </w:rPr>
        <w:t>答案　</w:t>
      </w:r>
      <w:r w:rsidRPr="0058554F">
        <w:rPr>
          <w:rFonts w:ascii="Times New Roman" w:hAnsi="Times New Roman" w:cs="Times New Roman"/>
          <w:color w:val="FF0000"/>
        </w:rPr>
        <w:t>C</w:t>
      </w:r>
    </w:p>
    <w:p w:rsidR="0058554F" w:rsidRPr="0058554F" w:rsidP="0058554F" w14:paraId="5D75B0C4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 w:rsidRPr="0058554F">
        <w:rPr>
          <w:rFonts w:ascii="Times New Roman" w:eastAsia="黑体" w:hAnsi="Times New Roman" w:cs="Times New Roman"/>
          <w:color w:val="FF0000"/>
        </w:rPr>
        <w:t>解析　</w:t>
      </w:r>
      <w:r w:rsidRPr="0058554F">
        <w:rPr>
          <w:rFonts w:ascii="Times New Roman" w:eastAsia="楷体_GB2312" w:hAnsi="Times New Roman" w:cs="Times New Roman"/>
          <w:color w:val="FF0000"/>
        </w:rPr>
        <w:t>铅化学性质稳定，不易分解，不能最终通过动植物呼吸作用返回非生物环境，</w:t>
      </w:r>
      <w:r w:rsidRPr="0058554F">
        <w:rPr>
          <w:rFonts w:ascii="Times New Roman" w:eastAsia="楷体_GB2312" w:hAnsi="Times New Roman" w:cs="Times New Roman"/>
          <w:color w:val="FF0000"/>
        </w:rPr>
        <w:t>C</w:t>
      </w:r>
      <w:r w:rsidRPr="0058554F">
        <w:rPr>
          <w:rFonts w:ascii="Times New Roman" w:eastAsia="楷体_GB2312" w:hAnsi="Times New Roman" w:cs="Times New Roman"/>
          <w:color w:val="FF0000"/>
        </w:rPr>
        <w:t>错误。</w:t>
      </w:r>
    </w:p>
    <w:p w:rsidR="0058554F" w:rsidRPr="00C43F23" w:rsidP="0058554F" w14:paraId="070B352F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某些人工合成的化合物如农药</w:t>
      </w:r>
      <w:r w:rsidRPr="00C43F23"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六六六等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进入环境后便参与生态系统的物质循环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但是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这些化合物难以被降解而在生物体内蓄积</w:t>
      </w:r>
      <w:r>
        <w:rPr>
          <w:rFonts w:ascii="Times New Roman" w:hAnsi="Times New Roman" w:cs="Times New Roman"/>
        </w:rPr>
        <w:t>。</w:t>
      </w:r>
      <w:r w:rsidRPr="00C43F23">
        <w:rPr>
          <w:rFonts w:ascii="Times New Roman" w:hAnsi="Times New Roman" w:cs="Times New Roman"/>
        </w:rPr>
        <w:t>下表是某水域生态系统在结构和功能处于相对稳定状态时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丙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丁四</w:t>
      </w:r>
      <w:r w:rsidRPr="00C43F23">
        <w:rPr>
          <w:rFonts w:ascii="Times New Roman" w:hAnsi="Times New Roman" w:cs="Times New Roman"/>
        </w:rPr>
        <w:t>个</w:t>
      </w:r>
      <w:r w:rsidRPr="00C43F23">
        <w:rPr>
          <w:rFonts w:ascii="Times New Roman" w:hAnsi="Times New Roman" w:cs="Times New Roman"/>
        </w:rPr>
        <w:t>种群所含有的总能量和残留</w:t>
      </w:r>
      <w:r w:rsidRPr="00C43F23">
        <w:rPr>
          <w:rFonts w:ascii="Times New Roman" w:hAnsi="Times New Roman" w:cs="Times New Roman"/>
        </w:rPr>
        <w:t>DDT</w:t>
      </w:r>
      <w:r w:rsidRPr="00C43F23">
        <w:rPr>
          <w:rFonts w:ascii="Times New Roman" w:hAnsi="Times New Roman" w:cs="Times New Roman"/>
        </w:rPr>
        <w:t>的平均浓度</w:t>
      </w:r>
      <w:r>
        <w:rPr>
          <w:rFonts w:ascii="Times New Roman" w:hAnsi="Times New Roman" w:cs="Times New Roman"/>
        </w:rPr>
        <w:t>。</w:t>
      </w:r>
      <w:r w:rsidRPr="00C43F23">
        <w:rPr>
          <w:rFonts w:ascii="Times New Roman" w:hAnsi="Times New Roman" w:cs="Times New Roman"/>
        </w:rPr>
        <w:t>下列说法错误的是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0"/>
        <w:gridCol w:w="1057"/>
        <w:gridCol w:w="1057"/>
        <w:gridCol w:w="1057"/>
        <w:gridCol w:w="1057"/>
      </w:tblGrid>
      <w:tr w14:paraId="671B9357" w14:textId="77777777" w:rsidTr="0040170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58554F" w:rsidRPr="00C43F23" w:rsidP="0040170D" w14:paraId="540407B7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种群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39A8E7CC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甲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1FD161AA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乙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3E9C8775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丙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16055F09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丁</w:t>
            </w:r>
          </w:p>
        </w:tc>
      </w:tr>
      <w:tr w14:paraId="1871292F" w14:textId="77777777" w:rsidTr="0040170D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58554F" w:rsidRPr="00C43F23" w:rsidP="0040170D" w14:paraId="27F05DDA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能量</w:t>
            </w:r>
            <w:r>
              <w:rPr>
                <w:rFonts w:ascii="Times New Roman" w:hAnsi="Times New Roman" w:cs="Times New Roman"/>
              </w:rPr>
              <w:t>(</w:t>
            </w:r>
            <w:r w:rsidRPr="00C43F23">
              <w:rPr>
                <w:rFonts w:ascii="Times New Roman" w:hAnsi="Times New Roman" w:cs="Times New Roman"/>
              </w:rPr>
              <w:t>kJ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4B4D4797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2.8</w:t>
            </w:r>
            <w:r w:rsidRPr="00C43F23">
              <w:rPr>
                <w:rFonts w:hAnsi="宋体" w:cs="Times New Roman"/>
              </w:rPr>
              <w:t>×</w:t>
            </w:r>
            <w:r w:rsidRPr="00C43F23">
              <w:rPr>
                <w:rFonts w:ascii="Times New Roman" w:hAnsi="Times New Roman" w:cs="Times New Roman"/>
              </w:rPr>
              <w:t>10</w:t>
            </w:r>
            <w:r w:rsidRPr="00C43F23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6EC04C10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1.3</w:t>
            </w:r>
            <w:r w:rsidRPr="00C43F23">
              <w:rPr>
                <w:rFonts w:hAnsi="宋体" w:cs="Times New Roman"/>
              </w:rPr>
              <w:t>×</w:t>
            </w:r>
            <w:r w:rsidRPr="00C43F23">
              <w:rPr>
                <w:rFonts w:ascii="Times New Roman" w:hAnsi="Times New Roman" w:cs="Times New Roman"/>
              </w:rPr>
              <w:t>10</w:t>
            </w:r>
            <w:r w:rsidRPr="00C43F23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6232E457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9.1</w:t>
            </w:r>
            <w:r w:rsidRPr="00C43F23">
              <w:rPr>
                <w:rFonts w:hAnsi="宋体" w:cs="Times New Roman"/>
              </w:rPr>
              <w:t>×</w:t>
            </w:r>
            <w:r w:rsidRPr="00C43F23">
              <w:rPr>
                <w:rFonts w:ascii="Times New Roman" w:hAnsi="Times New Roman" w:cs="Times New Roman"/>
              </w:rPr>
              <w:t>10</w:t>
            </w:r>
            <w:r w:rsidRPr="00C43F23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556ED869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2.9</w:t>
            </w:r>
            <w:r w:rsidRPr="00C43F23">
              <w:rPr>
                <w:rFonts w:hAnsi="宋体" w:cs="Times New Roman"/>
              </w:rPr>
              <w:t>×</w:t>
            </w:r>
            <w:r w:rsidRPr="00C43F23">
              <w:rPr>
                <w:rFonts w:ascii="Times New Roman" w:hAnsi="Times New Roman" w:cs="Times New Roman"/>
              </w:rPr>
              <w:t>10</w:t>
            </w:r>
            <w:r w:rsidRPr="00C43F23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</w:tr>
      <w:tr w14:paraId="04929DED" w14:textId="77777777" w:rsidTr="0040170D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58554F" w:rsidRPr="00C43F23" w:rsidP="0040170D" w14:paraId="4845BF46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DDT</w:t>
            </w:r>
            <w:r w:rsidRPr="00C43F23">
              <w:rPr>
                <w:rFonts w:ascii="Times New Roman" w:hAnsi="Times New Roman" w:cs="Times New Roman"/>
              </w:rPr>
              <w:t>浓度</w:t>
            </w:r>
            <w:r>
              <w:rPr>
                <w:rFonts w:ascii="Times New Roman" w:hAnsi="Times New Roman" w:cs="Times New Roman"/>
              </w:rPr>
              <w:t>(</w:t>
            </w:r>
            <w:r w:rsidRPr="00C43F23">
              <w:rPr>
                <w:rFonts w:ascii="Times New Roman" w:hAnsi="Times New Roman" w:cs="Times New Roman"/>
              </w:rPr>
              <w:t>ppm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36C7BA0B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27391B21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RPr="00C43F23" w:rsidP="0040170D" w14:paraId="54D28060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8554F" w:rsidP="0040170D" w14:paraId="2A93D657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3.4</w:t>
            </w:r>
          </w:p>
        </w:tc>
      </w:tr>
    </w:tbl>
    <w:p w:rsidR="0058554F" w:rsidP="0058554F" w14:paraId="07C14A2B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58554F" w:rsidP="0058554F" w14:paraId="1D470886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A.</w:t>
      </w:r>
      <w:r w:rsidRPr="00C43F23">
        <w:rPr>
          <w:rFonts w:ascii="Times New Roman" w:hAnsi="Times New Roman" w:cs="Times New Roman"/>
        </w:rPr>
        <w:t>该生态系统的水体中</w:t>
      </w:r>
      <w:r w:rsidRPr="00C43F23">
        <w:rPr>
          <w:rFonts w:ascii="Times New Roman" w:hAnsi="Times New Roman" w:cs="Times New Roman"/>
        </w:rPr>
        <w:t>DDT</w:t>
      </w:r>
      <w:r w:rsidRPr="00C43F23">
        <w:rPr>
          <w:rFonts w:ascii="Times New Roman" w:hAnsi="Times New Roman" w:cs="Times New Roman"/>
        </w:rPr>
        <w:t>的浓度小于</w:t>
      </w:r>
      <w:r w:rsidRPr="00C43F23">
        <w:rPr>
          <w:rFonts w:ascii="Times New Roman" w:hAnsi="Times New Roman" w:cs="Times New Roman"/>
        </w:rPr>
        <w:t>0.04</w:t>
      </w:r>
      <w:r>
        <w:rPr>
          <w:rFonts w:ascii="Times New Roman" w:hAnsi="Times New Roman" w:cs="Times New Roman"/>
        </w:rPr>
        <w:t xml:space="preserve"> </w:t>
      </w:r>
      <w:r w:rsidRPr="00C43F23">
        <w:rPr>
          <w:rFonts w:ascii="Times New Roman" w:hAnsi="Times New Roman" w:cs="Times New Roman"/>
        </w:rPr>
        <w:t>ppm</w:t>
      </w:r>
    </w:p>
    <w:p w:rsidR="0058554F" w:rsidP="0058554F" w14:paraId="491EB94C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DDT</w:t>
      </w:r>
      <w:r w:rsidRPr="00C43F23">
        <w:rPr>
          <w:rFonts w:ascii="Times New Roman" w:hAnsi="Times New Roman" w:cs="Times New Roman"/>
        </w:rPr>
        <w:t>在代谢中不易分解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具有生物富集作用</w:t>
      </w:r>
    </w:p>
    <w:p w:rsidR="0058554F" w:rsidP="0058554F" w14:paraId="3AB7706D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丁种群个体死亡后释放的</w:t>
      </w:r>
      <w:r w:rsidRPr="00C43F23">
        <w:rPr>
          <w:rFonts w:ascii="Times New Roman" w:hAnsi="Times New Roman" w:cs="Times New Roman"/>
        </w:rPr>
        <w:t>DDT</w:t>
      </w:r>
      <w:r w:rsidRPr="00C43F23">
        <w:rPr>
          <w:rFonts w:ascii="Times New Roman" w:hAnsi="Times New Roman" w:cs="Times New Roman"/>
        </w:rPr>
        <w:t>还可能再进入丁种群</w:t>
      </w:r>
    </w:p>
    <w:p w:rsidR="0058554F" w:rsidP="0058554F" w14:paraId="2A60DAF1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四个种群最简单的能量流动渠道是形成一条食物链</w:t>
      </w:r>
    </w:p>
    <w:p w:rsidR="0058554F" w:rsidRPr="0058554F" w:rsidP="0058554F" w14:paraId="60BC251E" w14:textId="77777777">
      <w:pPr>
        <w:pStyle w:val="PlainText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  <w:color w:val="FF0000"/>
        </w:rPr>
      </w:pPr>
      <w:r w:rsidRPr="0058554F">
        <w:rPr>
          <w:rFonts w:ascii="Times New Roman" w:eastAsia="黑体" w:hAnsi="Times New Roman" w:cs="Times New Roman"/>
          <w:color w:val="FF0000"/>
        </w:rPr>
        <w:t>答案</w:t>
      </w:r>
      <w:r w:rsidRPr="0058554F">
        <w:rPr>
          <w:rFonts w:ascii="Times New Roman" w:hAnsi="Times New Roman" w:cs="Times New Roman"/>
          <w:color w:val="FF0000"/>
        </w:rPr>
        <w:t>　</w:t>
      </w:r>
      <w:r w:rsidRPr="0058554F">
        <w:rPr>
          <w:rFonts w:ascii="Times New Roman" w:hAnsi="Times New Roman" w:cs="Times New Roman"/>
          <w:color w:val="FF0000"/>
        </w:rPr>
        <w:t>D</w:t>
      </w:r>
    </w:p>
    <w:p w:rsidR="003C00AC" w14:paraId="53B495D0" w14:textId="77777777">
      <w:pPr>
        <w:rPr>
          <w:rFonts w:hint="eastAsia"/>
        </w:rPr>
      </w:pPr>
    </w:p>
    <w:p w:rsidR="003C00AC" w14:paraId="51E428F3" w14:textId="59477A9A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目标二、 </w:t>
      </w:r>
      <w:r w:rsidRPr="0058554F" w:rsidR="0058554F">
        <w:rPr>
          <w:rFonts w:ascii="黑体" w:eastAsia="黑体" w:hAnsi="黑体" w:cs="Times New Roman" w:hint="eastAsia"/>
          <w:b/>
          <w:sz w:val="24"/>
          <w:szCs w:val="24"/>
        </w:rPr>
        <w:t>探究土壤微生物的分解作用</w:t>
      </w:r>
    </w:p>
    <w:p w:rsidR="003C00AC" w14:paraId="3903CAB2" w14:textId="77777777">
      <w:pPr>
        <w:pStyle w:val="PlainText"/>
        <w:tabs>
          <w:tab w:val="left" w:pos="3402"/>
        </w:tabs>
        <w:snapToGrid w:val="0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47420" cy="243205"/>
            <wp:effectExtent l="0" t="0" r="5080" b="4445"/>
            <wp:docPr id="5" name="自主学习彩.jpg" descr="id:2147506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自主学习彩.jpg" descr="id:21475060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7966" cy="24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293" w:rsidRPr="003C7293" w:rsidP="003C7293" w14:paraId="7383A470" w14:textId="7381B726">
      <w:pPr>
        <w:tabs>
          <w:tab w:val="left" w:pos="540"/>
        </w:tabs>
        <w:spacing w:line="360" w:lineRule="auto"/>
        <w:ind w:firstLine="158" w:firstLineChars="75"/>
        <w:rPr>
          <w:rFonts w:ascii="宋体" w:eastAsia="宋体" w:hAnsi="宋体" w:cs="Times New Roman"/>
          <w:bCs/>
        </w:rPr>
      </w:pPr>
      <w:r w:rsidRPr="003C7293">
        <w:rPr>
          <w:rFonts w:ascii="Times New Roman" w:eastAsia="宋体" w:hAnsi="Times New Roman" w:cs="Times New Roman" w:hint="eastAsia"/>
          <w:bCs/>
        </w:rPr>
        <w:t>1</w:t>
      </w:r>
      <w:r>
        <w:rPr>
          <w:rFonts w:ascii="Times New Roman" w:eastAsia="宋体" w:hAnsi="Times New Roman" w:cs="Times New Roman" w:hint="eastAsia"/>
          <w:bCs/>
        </w:rPr>
        <w:t>.</w:t>
      </w:r>
      <w:r w:rsidRPr="003C7293">
        <w:rPr>
          <w:rFonts w:ascii="Times New Roman" w:eastAsia="宋体" w:hAnsi="Times New Roman" w:cs="Times New Roman" w:hint="eastAsia"/>
          <w:bCs/>
        </w:rPr>
        <w:t>实验原理</w:t>
      </w:r>
    </w:p>
    <w:p w:rsidR="003C7293" w:rsidRPr="003C7293" w:rsidP="003C7293" w14:paraId="1C48642A" w14:textId="77777777">
      <w:pPr>
        <w:tabs>
          <w:tab w:val="left" w:pos="540"/>
        </w:tabs>
        <w:spacing w:line="360" w:lineRule="auto"/>
        <w:ind w:firstLine="262" w:firstLineChars="125"/>
        <w:rPr>
          <w:rFonts w:ascii="Times New Roman" w:eastAsia="宋体" w:hAnsi="宋体" w:cs="Times New Roman"/>
          <w:bCs/>
        </w:rPr>
      </w:pPr>
      <w:r w:rsidRPr="003C7293">
        <w:rPr>
          <w:rFonts w:ascii="Times New Roman" w:eastAsia="宋体" w:hAnsi="Times New Roman" w:cs="Times New Roman" w:hint="eastAsia"/>
          <w:bCs/>
        </w:rPr>
        <w:t>①土壤中存在种类、数目繁多的</w:t>
      </w:r>
      <w:r w:rsidRPr="003C7293">
        <w:rPr>
          <w:rFonts w:ascii="楷体_GB2312" w:eastAsia="楷体_GB2312" w:hAnsi="Times New Roman" w:cs="Times New Roman" w:hint="eastAsia"/>
          <w:color w:val="FF0000"/>
          <w:u w:val="single" w:color="000000"/>
        </w:rPr>
        <w:t xml:space="preserve">  细菌、真菌  </w:t>
      </w:r>
      <w:r w:rsidRPr="003C7293">
        <w:rPr>
          <w:rFonts w:ascii="Times New Roman" w:eastAsia="宋体" w:hAnsi="Times New Roman" w:cs="Times New Roman" w:hint="eastAsia"/>
          <w:bCs/>
        </w:rPr>
        <w:t>等微生物，它们在生态系统中的成分为</w:t>
      </w:r>
      <w:r w:rsidRPr="003C7293">
        <w:rPr>
          <w:rFonts w:ascii="楷体_GB2312" w:eastAsia="楷体_GB2312" w:hAnsi="Times New Roman" w:cs="Times New Roman" w:hint="eastAsia"/>
          <w:color w:val="FF0000"/>
          <w:u w:val="single" w:color="000000"/>
        </w:rPr>
        <w:t xml:space="preserve">  分解者  </w:t>
      </w:r>
      <w:r w:rsidRPr="003C7293">
        <w:rPr>
          <w:rFonts w:ascii="Times New Roman" w:eastAsia="宋体" w:hAnsi="宋体" w:cs="Times New Roman" w:hint="eastAsia"/>
          <w:bCs/>
        </w:rPr>
        <w:t>。</w:t>
      </w:r>
    </w:p>
    <w:p w:rsidR="003C7293" w:rsidRPr="003C7293" w:rsidP="003C7293" w14:paraId="20375309" w14:textId="77777777">
      <w:pPr>
        <w:tabs>
          <w:tab w:val="left" w:pos="540"/>
        </w:tabs>
        <w:spacing w:line="360" w:lineRule="auto"/>
        <w:ind w:left="262" w:leftChars="125"/>
        <w:rPr>
          <w:rFonts w:ascii="Times New Roman" w:eastAsia="宋体" w:hAnsi="Times New Roman" w:cs="Times New Roman"/>
          <w:bCs/>
        </w:rPr>
      </w:pPr>
      <w:r w:rsidRPr="003C7293">
        <w:rPr>
          <w:rFonts w:ascii="Times New Roman" w:eastAsia="宋体" w:hAnsi="宋体" w:cs="Times New Roman" w:hint="eastAsia"/>
          <w:bCs/>
        </w:rPr>
        <w:t>②分解者的作用是将环境中的</w:t>
      </w:r>
      <w:r w:rsidRPr="003C7293">
        <w:rPr>
          <w:rFonts w:ascii="Times New Roman" w:eastAsia="宋体" w:hAnsi="宋体" w:cs="Times New Roman" w:hint="eastAsia"/>
          <w:bCs/>
          <w:u w:val="single"/>
        </w:rPr>
        <w:t xml:space="preserve"> </w:t>
      </w:r>
      <w:r w:rsidRPr="003C7293">
        <w:rPr>
          <w:rFonts w:ascii="楷体_GB2312" w:eastAsia="楷体_GB2312" w:hAnsi="Times New Roman" w:cs="Times New Roman" w:hint="eastAsia"/>
          <w:color w:val="FF0000"/>
          <w:u w:val="single" w:color="000000"/>
        </w:rPr>
        <w:t xml:space="preserve"> 有机物</w:t>
      </w:r>
      <w:r w:rsidRPr="003C7293">
        <w:rPr>
          <w:rFonts w:ascii="Times New Roman" w:eastAsia="宋体" w:hAnsi="宋体" w:cs="Times New Roman" w:hint="eastAsia"/>
          <w:bCs/>
          <w:u w:val="single"/>
        </w:rPr>
        <w:t xml:space="preserve">  </w:t>
      </w:r>
      <w:r w:rsidRPr="003C7293">
        <w:rPr>
          <w:rFonts w:ascii="Times New Roman" w:eastAsia="宋体" w:hAnsi="宋体" w:cs="Times New Roman" w:hint="eastAsia"/>
          <w:bCs/>
        </w:rPr>
        <w:t>分解为</w:t>
      </w:r>
      <w:r w:rsidRPr="003C7293">
        <w:rPr>
          <w:rFonts w:ascii="Times New Roman" w:eastAsia="宋体" w:hAnsi="宋体" w:cs="Times New Roman" w:hint="eastAsia"/>
          <w:bCs/>
          <w:u w:val="single"/>
        </w:rPr>
        <w:t xml:space="preserve">  </w:t>
      </w:r>
      <w:r w:rsidRPr="003C7293">
        <w:rPr>
          <w:rFonts w:ascii="楷体_GB2312" w:eastAsia="楷体_GB2312" w:hAnsi="Times New Roman" w:cs="Times New Roman" w:hint="eastAsia"/>
          <w:color w:val="FF0000"/>
          <w:u w:val="single" w:color="000000"/>
        </w:rPr>
        <w:t>无机物</w:t>
      </w:r>
      <w:r w:rsidRPr="003C7293">
        <w:rPr>
          <w:rFonts w:ascii="Times New Roman" w:eastAsia="宋体" w:hAnsi="宋体" w:cs="Times New Roman" w:hint="eastAsia"/>
          <w:bCs/>
          <w:u w:val="single"/>
        </w:rPr>
        <w:t xml:space="preserve">  </w:t>
      </w:r>
      <w:r w:rsidRPr="003C7293">
        <w:rPr>
          <w:rFonts w:ascii="Times New Roman" w:eastAsia="宋体" w:hAnsi="宋体" w:cs="Times New Roman" w:hint="eastAsia"/>
          <w:bCs/>
        </w:rPr>
        <w:t>，其分解速度与环境中的</w:t>
      </w:r>
      <w:r w:rsidRPr="003C7293">
        <w:rPr>
          <w:rFonts w:ascii="楷体_GB2312" w:eastAsia="楷体_GB2312" w:hAnsi="Times New Roman" w:cs="Times New Roman" w:hint="eastAsia"/>
          <w:color w:val="FF0000"/>
          <w:u w:val="single" w:color="000000"/>
        </w:rPr>
        <w:t xml:space="preserve">  温度、水分  </w:t>
      </w:r>
      <w:r w:rsidRPr="003C7293">
        <w:rPr>
          <w:rFonts w:ascii="Times New Roman" w:eastAsia="宋体" w:hAnsi="宋体" w:cs="Times New Roman" w:hint="eastAsia"/>
          <w:bCs/>
        </w:rPr>
        <w:t>等生态因子相关。</w:t>
      </w:r>
    </w:p>
    <w:p w:rsidR="003C7293" w:rsidRPr="003C7293" w:rsidP="003C7293" w14:paraId="05794775" w14:textId="38134457">
      <w:pPr>
        <w:tabs>
          <w:tab w:val="left" w:pos="540"/>
        </w:tabs>
        <w:spacing w:line="360" w:lineRule="auto"/>
        <w:ind w:firstLine="158" w:firstLineChars="75"/>
        <w:rPr>
          <w:rFonts w:ascii="宋体" w:eastAsia="宋体" w:hAnsi="宋体" w:cs="Times New Roman"/>
          <w:bCs/>
        </w:rPr>
      </w:pPr>
      <w:r w:rsidRPr="003C7293">
        <w:rPr>
          <w:rFonts w:ascii="Times New Roman" w:eastAsia="宋体" w:hAnsi="Times New Roman" w:cs="Times New Roman" w:hint="eastAsia"/>
          <w:bCs/>
        </w:rPr>
        <w:t>2</w:t>
      </w:r>
      <w:r>
        <w:rPr>
          <w:rFonts w:ascii="Times New Roman" w:eastAsia="宋体" w:hAnsi="Times New Roman" w:cs="Times New Roman" w:hint="eastAsia"/>
          <w:bCs/>
        </w:rPr>
        <w:t>.</w:t>
      </w:r>
      <w:r w:rsidRPr="003C7293">
        <w:rPr>
          <w:rFonts w:ascii="Times New Roman" w:eastAsia="宋体" w:hAnsi="Times New Roman" w:cs="Times New Roman" w:hint="eastAsia"/>
          <w:bCs/>
        </w:rPr>
        <w:t>设计案例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740"/>
        <w:gridCol w:w="3255"/>
        <w:gridCol w:w="392"/>
        <w:gridCol w:w="475"/>
        <w:gridCol w:w="2277"/>
        <w:gridCol w:w="500"/>
        <w:gridCol w:w="1150"/>
      </w:tblGrid>
      <w:tr w14:paraId="6AB6A8AD" w14:textId="77777777" w:rsidTr="0040170D">
        <w:tblPrEx>
          <w:tblW w:w="0" w:type="auto"/>
          <w:tblInd w:w="3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93" w:type="dxa"/>
            <w:gridSpan w:val="2"/>
            <w:shd w:val="clear" w:color="auto" w:fill="auto"/>
            <w:vAlign w:val="center"/>
          </w:tcPr>
          <w:p w:rsidR="003C7293" w:rsidRPr="003C7293" w:rsidP="003C7293" w14:paraId="18B6F60C" w14:textId="77777777">
            <w:pPr>
              <w:snapToGrid w:val="0"/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/>
                <w:bCs/>
              </w:rPr>
              <w:t>项目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3C7293" w:rsidRPr="003C7293" w:rsidP="003C7293" w14:paraId="3E09FA15" w14:textId="77777777">
            <w:pPr>
              <w:snapToGrid w:val="0"/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/>
                <w:bCs/>
              </w:rPr>
              <w:t>案例</w:t>
            </w:r>
            <w:r w:rsidRPr="003C7293"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  <w:tc>
          <w:tcPr>
            <w:tcW w:w="4801" w:type="dxa"/>
            <w:gridSpan w:val="5"/>
            <w:shd w:val="clear" w:color="auto" w:fill="auto"/>
            <w:vAlign w:val="center"/>
          </w:tcPr>
          <w:p w:rsidR="003C7293" w:rsidRPr="003C7293" w:rsidP="003C7293" w14:paraId="1FCBDBA9" w14:textId="77777777">
            <w:pPr>
              <w:snapToGrid w:val="0"/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/>
                <w:bCs/>
              </w:rPr>
              <w:t>案例</w:t>
            </w:r>
            <w:r w:rsidRPr="003C7293">
              <w:rPr>
                <w:rFonts w:ascii="Times New Roman" w:eastAsia="宋体" w:hAnsi="Times New Roman" w:cs="Times New Roman"/>
                <w:bCs/>
              </w:rPr>
              <w:t>2</w:t>
            </w:r>
          </w:p>
        </w:tc>
      </w:tr>
      <w:tr w14:paraId="48C48C60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Align w:val="center"/>
          </w:tcPr>
          <w:p w:rsidR="003C7293" w:rsidRPr="003C7293" w:rsidP="003C7293" w14:paraId="7C71DD38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/>
                <w:bCs/>
              </w:rPr>
              <w:t>实验假设</w:t>
            </w:r>
          </w:p>
        </w:tc>
        <w:tc>
          <w:tcPr>
            <w:tcW w:w="3262" w:type="dxa"/>
            <w:vAlign w:val="center"/>
          </w:tcPr>
          <w:p w:rsidR="003C7293" w:rsidRPr="003C7293" w:rsidP="003C7293" w14:paraId="3740AE85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 w:hint="eastAsia"/>
                <w:bCs/>
              </w:rPr>
              <w:t>土壤</w:t>
            </w:r>
            <w:r w:rsidRPr="003C7293">
              <w:rPr>
                <w:rFonts w:ascii="Times New Roman" w:eastAsia="宋体" w:hAnsi="宋体" w:cs="Times New Roman"/>
                <w:bCs/>
              </w:rPr>
              <w:t>微生物能分解落叶使之腐烂</w:t>
            </w:r>
          </w:p>
        </w:tc>
        <w:tc>
          <w:tcPr>
            <w:tcW w:w="4801" w:type="dxa"/>
            <w:gridSpan w:val="5"/>
            <w:vAlign w:val="center"/>
          </w:tcPr>
          <w:p w:rsidR="003C7293" w:rsidRPr="003C7293" w:rsidP="003C7293" w14:paraId="477403DA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 w:hint="eastAsia"/>
                <w:bCs/>
              </w:rPr>
              <w:t>土壤</w:t>
            </w:r>
            <w:r w:rsidRPr="003C7293">
              <w:rPr>
                <w:rFonts w:ascii="Times New Roman" w:eastAsia="宋体" w:hAnsi="宋体" w:cs="Times New Roman"/>
                <w:bCs/>
              </w:rPr>
              <w:t>微生物能分解淀粉</w:t>
            </w:r>
          </w:p>
        </w:tc>
      </w:tr>
      <w:tr w14:paraId="4689B4D8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551" w:type="dxa"/>
            <w:vMerge w:val="restart"/>
            <w:vAlign w:val="center"/>
          </w:tcPr>
          <w:p w:rsidR="003C7293" w:rsidRPr="003C7293" w:rsidP="003C7293" w14:paraId="374A11F9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/>
                <w:bCs/>
              </w:rPr>
              <w:t>实验设计</w:t>
            </w:r>
          </w:p>
        </w:tc>
        <w:tc>
          <w:tcPr>
            <w:tcW w:w="742" w:type="dxa"/>
            <w:vAlign w:val="center"/>
          </w:tcPr>
          <w:p w:rsidR="003C7293" w:rsidRPr="003C7293" w:rsidP="003C7293" w14:paraId="2FA041CB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/>
                <w:bCs/>
              </w:rPr>
              <w:t>实验组</w:t>
            </w:r>
          </w:p>
        </w:tc>
        <w:tc>
          <w:tcPr>
            <w:tcW w:w="3262" w:type="dxa"/>
            <w:vAlign w:val="center"/>
          </w:tcPr>
          <w:p w:rsidR="003C7293" w:rsidRPr="003C7293" w:rsidP="003C7293" w14:paraId="3208D566" w14:textId="77777777">
            <w:pPr>
              <w:spacing w:line="360" w:lineRule="auto"/>
              <w:ind w:left="-52" w:right="-52" w:leftChars="-25" w:rightChars="-25"/>
              <w:jc w:val="left"/>
              <w:rPr>
                <w:rFonts w:ascii="Times New Roman" w:eastAsia="宋体" w:hAnsi="宋体" w:cs="Times New Roman"/>
                <w:bCs/>
                <w:color w:val="000000"/>
              </w:rPr>
            </w:pPr>
            <w:r w:rsidRPr="003C7293">
              <w:rPr>
                <w:rFonts w:ascii="Times New Roman" w:eastAsia="宋体" w:hAnsi="宋体" w:cs="Times New Roman"/>
                <w:bCs/>
                <w:color w:val="000000"/>
              </w:rPr>
              <w:t>对土壤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  <w:u w:val="single"/>
              </w:rPr>
              <w:t xml:space="preserve">  </w:t>
            </w:r>
            <w:r w:rsidRPr="003C7293">
              <w:rPr>
                <w:rFonts w:ascii="楷体_GB2312" w:eastAsia="楷体_GB2312" w:hAnsi="Times New Roman" w:cs="Times New Roman" w:hint="eastAsia"/>
                <w:color w:val="FF0000"/>
                <w:u w:val="single" w:color="000000"/>
              </w:rPr>
              <w:t>高温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  <w:u w:val="single"/>
              </w:rPr>
              <w:t xml:space="preserve">  </w:t>
            </w:r>
            <w:r w:rsidRPr="003C7293">
              <w:rPr>
                <w:rFonts w:ascii="Times New Roman" w:eastAsia="宋体" w:hAnsi="宋体" w:cs="Times New Roman"/>
                <w:bCs/>
                <w:color w:val="000000"/>
              </w:rPr>
              <w:t>处理</w:t>
            </w:r>
          </w:p>
        </w:tc>
        <w:tc>
          <w:tcPr>
            <w:tcW w:w="3650" w:type="dxa"/>
            <w:gridSpan w:val="4"/>
            <w:vAlign w:val="center"/>
          </w:tcPr>
          <w:p w:rsidR="003C7293" w:rsidRPr="003C7293" w:rsidP="003C7293" w14:paraId="17EF7CEE" w14:textId="77777777">
            <w:pPr>
              <w:spacing w:line="360" w:lineRule="auto"/>
              <w:ind w:left="-52" w:right="-52" w:leftChars="-25" w:rightChars="-25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 w:rsidRPr="003C7293">
              <w:rPr>
                <w:rFonts w:ascii="Times New Roman" w:eastAsia="宋体" w:hAnsi="宋体" w:cs="Times New Roman"/>
                <w:bCs/>
                <w:color w:val="000000"/>
                <w:szCs w:val="21"/>
              </w:rPr>
              <w:t>A</w:t>
            </w:r>
            <w:r w:rsidRPr="003C7293">
              <w:rPr>
                <w:rFonts w:ascii="Times New Roman" w:eastAsia="宋体" w:hAnsi="宋体" w:cs="Times New Roman"/>
                <w:bCs/>
                <w:color w:val="000000"/>
                <w:szCs w:val="21"/>
              </w:rPr>
              <w:t>烧杯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</w:t>
            </w:r>
            <w:r w:rsidRPr="003C7293">
              <w:rPr>
                <w:rFonts w:ascii="Times New Roman" w:eastAsia="宋体" w:hAnsi="宋体" w:cs="Times New Roman"/>
                <w:bCs/>
                <w:color w:val="000000"/>
                <w:szCs w:val="21"/>
              </w:rPr>
              <w:t>30mL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  <w:u w:val="single"/>
              </w:rPr>
              <w:t xml:space="preserve"> </w:t>
            </w:r>
            <w:r w:rsidRPr="003C7293">
              <w:rPr>
                <w:rFonts w:ascii="楷体_GB2312" w:eastAsia="楷体_GB2312" w:hAnsi="Times New Roman" w:cs="Times New Roman" w:hint="eastAsia"/>
                <w:color w:val="FF0000"/>
                <w:u w:val="single" w:color="000000"/>
              </w:rPr>
              <w:t xml:space="preserve">土壤浸出液 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  <w:u w:val="single"/>
              </w:rPr>
              <w:t xml:space="preserve"> 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＋淀粉糊</w:t>
            </w:r>
          </w:p>
        </w:tc>
        <w:tc>
          <w:tcPr>
            <w:tcW w:w="1151" w:type="dxa"/>
            <w:vMerge w:val="restart"/>
            <w:vAlign w:val="center"/>
          </w:tcPr>
          <w:p w:rsidR="003C7293" w:rsidRPr="003C7293" w:rsidP="003C7293" w14:paraId="599865E4" w14:textId="77777777">
            <w:pPr>
              <w:snapToGrid w:val="0"/>
              <w:spacing w:line="360" w:lineRule="auto"/>
              <w:ind w:left="-52" w:right="-52" w:leftChars="-25" w:rightChars="-25"/>
              <w:rPr>
                <w:rFonts w:ascii="Times New Roman" w:eastAsia="宋体" w:hAnsi="宋体" w:cs="Times New Roman"/>
                <w:bCs/>
                <w:color w:val="000000"/>
                <w:sz w:val="18"/>
                <w:szCs w:val="18"/>
              </w:rPr>
            </w:pP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 w:val="18"/>
                <w:szCs w:val="18"/>
              </w:rPr>
              <w:t>在室温</w:t>
            </w:r>
            <w:r w:rsidRPr="003C7293"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>(</w:t>
            </w:r>
            <w:r w:rsidRPr="003C72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20</w:t>
            </w:r>
            <w:r w:rsidRPr="003C7293">
              <w:rPr>
                <w:rFonts w:ascii="Times New Roman" w:eastAsia="宋体" w:hAnsi="宋体" w:cs="Times New Roman"/>
                <w:bCs/>
                <w:color w:val="000000"/>
                <w:sz w:val="18"/>
                <w:szCs w:val="18"/>
              </w:rPr>
              <w:t>℃左右</w:t>
            </w:r>
            <w:r w:rsidRPr="003C7293"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>)</w:t>
            </w:r>
            <w:r w:rsidRPr="003C72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下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 w:val="18"/>
                <w:szCs w:val="18"/>
              </w:rPr>
              <w:t>放置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 w:val="18"/>
                <w:szCs w:val="18"/>
              </w:rPr>
              <w:t>7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 w:val="18"/>
                <w:szCs w:val="18"/>
              </w:rPr>
              <w:t>天</w:t>
            </w:r>
          </w:p>
        </w:tc>
      </w:tr>
      <w:tr w14:paraId="4ED3743F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551" w:type="dxa"/>
            <w:vMerge/>
            <w:vAlign w:val="center"/>
          </w:tcPr>
          <w:p w:rsidR="003C7293" w:rsidRPr="003C7293" w:rsidP="003C7293" w14:paraId="2BEB9438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42" w:type="dxa"/>
            <w:vAlign w:val="center"/>
          </w:tcPr>
          <w:p w:rsidR="003C7293" w:rsidRPr="003C7293" w:rsidP="003C7293" w14:paraId="07A1E258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/>
                <w:bCs/>
              </w:rPr>
              <w:t>对照组</w:t>
            </w:r>
          </w:p>
        </w:tc>
        <w:tc>
          <w:tcPr>
            <w:tcW w:w="3262" w:type="dxa"/>
            <w:vAlign w:val="center"/>
          </w:tcPr>
          <w:p w:rsidR="003C7293" w:rsidRPr="003C7293" w:rsidP="003C7293" w14:paraId="6874EDB5" w14:textId="77777777">
            <w:pPr>
              <w:spacing w:line="360" w:lineRule="auto"/>
              <w:ind w:left="-52" w:right="-52" w:leftChars="-25" w:rightChars="-25"/>
              <w:jc w:val="left"/>
              <w:rPr>
                <w:rFonts w:ascii="Times New Roman" w:eastAsia="宋体" w:hAnsi="宋体" w:cs="Times New Roman"/>
                <w:bCs/>
                <w:color w:val="000000"/>
              </w:rPr>
            </w:pPr>
            <w:r w:rsidRPr="003C7293">
              <w:rPr>
                <w:rFonts w:ascii="Times New Roman" w:eastAsia="宋体" w:hAnsi="宋体" w:cs="Times New Roman"/>
                <w:bCs/>
                <w:color w:val="000000"/>
              </w:rPr>
              <w:t>对土壤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  <w:u w:val="single"/>
              </w:rPr>
              <w:t xml:space="preserve">  </w:t>
            </w:r>
            <w:r w:rsidRPr="003C7293">
              <w:rPr>
                <w:rFonts w:ascii="楷体_GB2312" w:eastAsia="楷体_GB2312" w:hAnsi="Times New Roman" w:cs="Times New Roman" w:hint="eastAsia"/>
                <w:color w:val="FF0000"/>
                <w:u w:val="single" w:color="000000"/>
              </w:rPr>
              <w:t>不做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  <w:u w:val="single"/>
              </w:rPr>
              <w:t xml:space="preserve">  </w:t>
            </w:r>
            <w:r w:rsidRPr="003C7293">
              <w:rPr>
                <w:rFonts w:ascii="Times New Roman" w:eastAsia="宋体" w:hAnsi="宋体" w:cs="Times New Roman"/>
                <w:bCs/>
                <w:color w:val="000000"/>
              </w:rPr>
              <w:t>处理</w:t>
            </w:r>
            <w:r w:rsidRPr="003C7293">
              <w:rPr>
                <w:rFonts w:ascii="宋体" w:eastAsia="宋体" w:hAnsi="宋体" w:cs="Times New Roman" w:hint="eastAsia"/>
                <w:bCs/>
                <w:color w:val="000000"/>
              </w:rPr>
              <w:t>(自然状态)</w:t>
            </w:r>
          </w:p>
        </w:tc>
        <w:tc>
          <w:tcPr>
            <w:tcW w:w="3650" w:type="dxa"/>
            <w:gridSpan w:val="4"/>
            <w:vAlign w:val="center"/>
          </w:tcPr>
          <w:p w:rsidR="003C7293" w:rsidRPr="003C7293" w:rsidP="003C7293" w14:paraId="68D02B3E" w14:textId="77777777">
            <w:pPr>
              <w:spacing w:line="360" w:lineRule="auto"/>
              <w:ind w:left="-52" w:right="-52" w:leftChars="-25" w:rightChars="-25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 w:rsidRPr="003C7293">
              <w:rPr>
                <w:rFonts w:ascii="Times New Roman" w:eastAsia="宋体" w:hAnsi="宋体" w:cs="Times New Roman"/>
                <w:bCs/>
                <w:color w:val="000000"/>
                <w:szCs w:val="21"/>
              </w:rPr>
              <w:t>B</w:t>
            </w:r>
            <w:r w:rsidRPr="003C7293">
              <w:rPr>
                <w:rFonts w:ascii="Times New Roman" w:eastAsia="宋体" w:hAnsi="宋体" w:cs="Times New Roman"/>
                <w:bCs/>
                <w:color w:val="000000"/>
                <w:szCs w:val="21"/>
              </w:rPr>
              <w:t>烧杯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：</w:t>
            </w:r>
            <w:r w:rsidRPr="003C7293">
              <w:rPr>
                <w:rFonts w:ascii="Times New Roman" w:eastAsia="宋体" w:hAnsi="宋体" w:cs="Times New Roman"/>
                <w:bCs/>
                <w:color w:val="000000"/>
                <w:szCs w:val="21"/>
              </w:rPr>
              <w:t>30mL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  <w:u w:val="single"/>
              </w:rPr>
              <w:t xml:space="preserve">   </w:t>
            </w:r>
            <w:r w:rsidRPr="003C7293">
              <w:rPr>
                <w:rFonts w:ascii="楷体_GB2312" w:eastAsia="楷体_GB2312" w:hAnsi="Times New Roman" w:cs="Times New Roman" w:hint="eastAsia"/>
                <w:color w:val="FF0000"/>
                <w:u w:val="single" w:color="000000"/>
              </w:rPr>
              <w:t>蒸馏水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  <w:u w:val="single"/>
              </w:rPr>
              <w:t xml:space="preserve">    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szCs w:val="21"/>
              </w:rPr>
              <w:t>＋淀粉糊</w:t>
            </w:r>
          </w:p>
        </w:tc>
        <w:tc>
          <w:tcPr>
            <w:tcW w:w="1151" w:type="dxa"/>
            <w:vMerge/>
            <w:vAlign w:val="center"/>
          </w:tcPr>
          <w:p w:rsidR="003C7293" w:rsidRPr="003C7293" w:rsidP="003C7293" w14:paraId="1517D858" w14:textId="77777777">
            <w:pPr>
              <w:spacing w:line="360" w:lineRule="auto"/>
              <w:ind w:left="-25" w:right="-52" w:rightChars="-25"/>
              <w:rPr>
                <w:rFonts w:ascii="Times New Roman" w:eastAsia="宋体" w:hAnsi="宋体" w:cs="Times New Roman"/>
                <w:bCs/>
                <w:color w:val="000000"/>
              </w:rPr>
            </w:pPr>
          </w:p>
        </w:tc>
      </w:tr>
      <w:tr w14:paraId="16D7C953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551" w:type="dxa"/>
            <w:vMerge/>
            <w:vAlign w:val="center"/>
          </w:tcPr>
          <w:p w:rsidR="003C7293" w:rsidRPr="003C7293" w:rsidP="003C7293" w14:paraId="211F6B48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42" w:type="dxa"/>
            <w:vAlign w:val="center"/>
          </w:tcPr>
          <w:p w:rsidR="003C7293" w:rsidRPr="003C7293" w:rsidP="003C7293" w14:paraId="4D636D31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/>
                <w:bCs/>
              </w:rPr>
              <w:t>自变量</w:t>
            </w:r>
          </w:p>
        </w:tc>
        <w:tc>
          <w:tcPr>
            <w:tcW w:w="3262" w:type="dxa"/>
            <w:vAlign w:val="center"/>
          </w:tcPr>
          <w:p w:rsidR="003C7293" w:rsidRPr="003C7293" w:rsidP="003C7293" w14:paraId="7A60C7F0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 w:hAnsi="Times New Roman" w:cs="Times New Roman"/>
                <w:color w:val="FF0000"/>
              </w:rPr>
            </w:pPr>
            <w:r w:rsidRPr="003C7293">
              <w:rPr>
                <w:rFonts w:ascii="楷体_GB2312" w:eastAsia="楷体_GB2312" w:hAnsi="Times New Roman" w:cs="Times New Roman"/>
                <w:color w:val="FF0000"/>
              </w:rPr>
              <w:t>土壤是否含微生物</w:t>
            </w:r>
          </w:p>
        </w:tc>
        <w:tc>
          <w:tcPr>
            <w:tcW w:w="3650" w:type="dxa"/>
            <w:gridSpan w:val="4"/>
            <w:vAlign w:val="center"/>
          </w:tcPr>
          <w:p w:rsidR="003C7293" w:rsidRPr="003C7293" w:rsidP="003C7293" w14:paraId="6DE34BE7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 w:hAnsi="Times New Roman" w:cs="Times New Roman"/>
                <w:color w:val="FF0000"/>
              </w:rPr>
            </w:pPr>
            <w:r w:rsidRPr="003C7293">
              <w:rPr>
                <w:rFonts w:ascii="楷体_GB2312" w:eastAsia="楷体_GB2312" w:hAnsi="Times New Roman" w:cs="Times New Roman"/>
                <w:color w:val="FF0000"/>
              </w:rPr>
              <w:t>是否</w:t>
            </w:r>
            <w:r w:rsidRPr="003C7293">
              <w:rPr>
                <w:rFonts w:ascii="楷体_GB2312" w:eastAsia="楷体_GB2312" w:hAnsi="Times New Roman" w:cs="Times New Roman" w:hint="eastAsia"/>
                <w:color w:val="FF0000"/>
              </w:rPr>
              <w:t>加土壤</w:t>
            </w:r>
            <w:r w:rsidRPr="003C7293">
              <w:rPr>
                <w:rFonts w:ascii="楷体_GB2312" w:eastAsia="楷体_GB2312" w:hAnsi="Times New Roman" w:cs="Times New Roman"/>
                <w:color w:val="FF0000"/>
              </w:rPr>
              <w:t>浸出液</w:t>
            </w:r>
          </w:p>
        </w:tc>
        <w:tc>
          <w:tcPr>
            <w:tcW w:w="1151" w:type="dxa"/>
            <w:vMerge/>
            <w:vAlign w:val="center"/>
          </w:tcPr>
          <w:p w:rsidR="003C7293" w:rsidRPr="003C7293" w:rsidP="003C7293" w14:paraId="43E3D7BA" w14:textId="77777777">
            <w:pPr>
              <w:spacing w:line="360" w:lineRule="auto"/>
              <w:ind w:left="-25" w:right="-52" w:rightChars="-25"/>
              <w:jc w:val="center"/>
              <w:rPr>
                <w:rFonts w:ascii="Times New Roman" w:eastAsia="宋体" w:hAnsi="宋体" w:cs="Times New Roman"/>
                <w:bCs/>
                <w:color w:val="000000"/>
              </w:rPr>
            </w:pPr>
          </w:p>
        </w:tc>
      </w:tr>
      <w:tr w14:paraId="68814CEA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Merge w:val="restart"/>
            <w:vAlign w:val="center"/>
          </w:tcPr>
          <w:p w:rsidR="003C7293" w:rsidRPr="003C7293" w:rsidP="003C7293" w14:paraId="6F5324F4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/>
                <w:bCs/>
              </w:rPr>
              <w:t>实验现象</w:t>
            </w:r>
          </w:p>
        </w:tc>
        <w:tc>
          <w:tcPr>
            <w:tcW w:w="3262" w:type="dxa"/>
            <w:vMerge w:val="restart"/>
            <w:vAlign w:val="center"/>
          </w:tcPr>
          <w:p w:rsidR="003C7293" w:rsidRPr="003C7293" w:rsidP="003C7293" w14:paraId="63BDA07F" w14:textId="77777777">
            <w:pPr>
              <w:spacing w:line="360" w:lineRule="auto"/>
              <w:ind w:left="-52" w:right="-52" w:leftChars="-25" w:rightChars="-25"/>
              <w:rPr>
                <w:rFonts w:ascii="Times New Roman" w:eastAsia="宋体" w:hAnsi="宋体" w:cs="Times New Roman"/>
                <w:bCs/>
                <w:color w:val="000000"/>
              </w:rPr>
            </w:pPr>
            <w:r w:rsidRPr="003C7293">
              <w:rPr>
                <w:rFonts w:ascii="Times New Roman" w:eastAsia="宋体" w:hAnsi="宋体" w:cs="Times New Roman"/>
                <w:bCs/>
                <w:color w:val="000000"/>
              </w:rPr>
              <w:t>在相同时间内实验组落叶腐烂程度</w:t>
            </w:r>
          </w:p>
          <w:p w:rsidR="003C7293" w:rsidRPr="003C7293" w:rsidP="003C7293" w14:paraId="7CC30BB7" w14:textId="77777777">
            <w:pPr>
              <w:spacing w:line="360" w:lineRule="auto"/>
              <w:ind w:left="-52" w:right="-52" w:leftChars="-25" w:rightChars="-25"/>
              <w:rPr>
                <w:rFonts w:ascii="Times New Roman" w:eastAsia="宋体" w:hAnsi="宋体" w:cs="Times New Roman"/>
                <w:bCs/>
              </w:rPr>
            </w:pP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u w:val="single"/>
              </w:rPr>
              <w:t xml:space="preserve">  </w:t>
            </w:r>
            <w:r w:rsidRPr="003C7293">
              <w:rPr>
                <w:rFonts w:ascii="楷体_GB2312" w:eastAsia="楷体_GB2312" w:hAnsi="Times New Roman" w:cs="Times New Roman" w:hint="eastAsia"/>
                <w:color w:val="FF0000"/>
                <w:u w:val="single" w:color="000000"/>
              </w:rPr>
              <w:t>小于</w:t>
            </w:r>
            <w:r w:rsidRPr="003C7293">
              <w:rPr>
                <w:rFonts w:ascii="Times New Roman" w:eastAsia="宋体" w:hAnsi="宋体" w:cs="Times New Roman" w:hint="eastAsia"/>
                <w:bCs/>
                <w:color w:val="000000"/>
                <w:u w:val="single"/>
              </w:rPr>
              <w:t xml:space="preserve">  </w:t>
            </w:r>
            <w:r w:rsidRPr="003C7293">
              <w:rPr>
                <w:rFonts w:ascii="宋体" w:eastAsia="宋体" w:hAnsi="宋体" w:cs="Times New Roman" w:hint="eastAsia"/>
                <w:bCs/>
                <w:color w:val="000000"/>
              </w:rPr>
              <w:t>(大于/</w:t>
            </w:r>
            <w:r w:rsidRPr="003C7293">
              <w:rPr>
                <w:rFonts w:ascii="宋体" w:eastAsia="宋体" w:hAnsi="宋体" w:cs="Times New Roman"/>
                <w:bCs/>
                <w:color w:val="000000"/>
                <w:szCs w:val="21"/>
              </w:rPr>
              <w:t>小于</w:t>
            </w:r>
            <w:r w:rsidRPr="003C7293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)</w:t>
            </w:r>
            <w:r w:rsidRPr="003C7293">
              <w:rPr>
                <w:rFonts w:ascii="Times New Roman" w:eastAsia="宋体" w:hAnsi="宋体" w:cs="Times New Roman"/>
                <w:bCs/>
                <w:color w:val="000000"/>
              </w:rPr>
              <w:t>对照组</w:t>
            </w:r>
          </w:p>
          <w:p w:rsidR="003C7293" w:rsidRPr="003C7293" w:rsidP="003C7293" w14:paraId="61A554AE" w14:textId="77777777">
            <w:pPr>
              <w:spacing w:line="360" w:lineRule="auto"/>
              <w:ind w:left="-52" w:right="-52" w:leftChars="-25" w:rightChars="-25"/>
              <w:rPr>
                <w:rFonts w:ascii="Times New Roman" w:eastAsia="宋体" w:hAnsi="宋体" w:cs="Times New Roman"/>
                <w:bCs/>
              </w:rPr>
            </w:pPr>
            <w:r w:rsidRPr="003C7293">
              <w:rPr>
                <w:rFonts w:ascii="Times New Roman" w:eastAsia="宋体" w:hAnsi="宋体" w:cs="Times New Roman" w:hint="eastAsia"/>
                <w:bCs/>
              </w:rPr>
              <w:t>对照组落叶腐烂所需时间比实验组</w:t>
            </w:r>
          </w:p>
          <w:p w:rsidR="003C7293" w:rsidRPr="003C7293" w:rsidP="003C7293" w14:paraId="1EAE71F4" w14:textId="77777777">
            <w:pPr>
              <w:spacing w:line="360" w:lineRule="auto"/>
              <w:ind w:left="-52" w:right="-52" w:leftChars="-25" w:rightChars="-25"/>
              <w:rPr>
                <w:rFonts w:ascii="Times New Roman" w:eastAsia="宋体" w:hAnsi="Times New Roman" w:cs="Times New Roman"/>
                <w:bCs/>
                <w:color w:val="000000"/>
              </w:rPr>
            </w:pPr>
            <w:r w:rsidRPr="003C7293">
              <w:rPr>
                <w:rFonts w:ascii="楷体_GB2312" w:eastAsia="楷体_GB2312" w:hAnsi="Times New Roman" w:cs="Times New Roman" w:hint="eastAsia"/>
                <w:color w:val="FF0000"/>
                <w:u w:val="single" w:color="000000"/>
              </w:rPr>
              <w:t xml:space="preserve">  短 </w:t>
            </w:r>
            <w:r w:rsidRPr="003C7293">
              <w:rPr>
                <w:rFonts w:ascii="Times New Roman" w:eastAsia="宋体" w:hAnsi="宋体" w:cs="Times New Roman" w:hint="eastAsia"/>
                <w:bCs/>
                <w:color w:val="FF0000"/>
                <w:szCs w:val="21"/>
                <w:u w:val="single" w:color="000000"/>
              </w:rPr>
              <w:t xml:space="preserve"> </w:t>
            </w:r>
          </w:p>
        </w:tc>
        <w:tc>
          <w:tcPr>
            <w:tcW w:w="392" w:type="dxa"/>
            <w:vMerge w:val="restart"/>
            <w:vAlign w:val="center"/>
          </w:tcPr>
          <w:p w:rsidR="003C7293" w:rsidRPr="003C7293" w:rsidP="003C7293" w14:paraId="25564FD8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  <w:r w:rsidRPr="003C7293">
              <w:rPr>
                <w:rFonts w:ascii="Times New Roman" w:eastAsia="宋体" w:hAnsi="Times New Roman" w:cs="Times New Roman"/>
                <w:bCs/>
                <w:color w:val="000000"/>
              </w:rPr>
              <w:t>A</w:t>
            </w:r>
          </w:p>
        </w:tc>
        <w:tc>
          <w:tcPr>
            <w:tcW w:w="475" w:type="dxa"/>
            <w:vAlign w:val="center"/>
          </w:tcPr>
          <w:p w:rsidR="003C7293" w:rsidRPr="003C7293" w:rsidP="003C7293" w14:paraId="7B41DFC4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  <w:r w:rsidRPr="003C7293">
              <w:rPr>
                <w:rFonts w:ascii="Times New Roman" w:eastAsia="宋体" w:hAnsi="Times New Roman" w:cs="Times New Roman"/>
                <w:bCs/>
                <w:color w:val="000000"/>
              </w:rPr>
              <w:t>A</w:t>
            </w:r>
            <w:r w:rsidRPr="003C7293">
              <w:rPr>
                <w:rFonts w:ascii="Times New Roman" w:eastAsia="宋体" w:hAnsi="Times New Roman" w:cs="Times New Roman"/>
                <w:bCs/>
                <w:color w:val="000000"/>
                <w:vertAlign w:val="subscript"/>
              </w:rPr>
              <w:t>1</w:t>
            </w:r>
          </w:p>
        </w:tc>
        <w:tc>
          <w:tcPr>
            <w:tcW w:w="2282" w:type="dxa"/>
            <w:vAlign w:val="center"/>
          </w:tcPr>
          <w:p w:rsidR="003C7293" w:rsidRPr="003C7293" w:rsidP="003C7293" w14:paraId="29325B4A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 w:hAnsi="Times New Roman" w:cs="Times New Roman"/>
                <w:color w:val="FF0000"/>
              </w:rPr>
            </w:pPr>
            <w:r w:rsidRPr="003C7293">
              <w:rPr>
                <w:rFonts w:ascii="楷体_GB2312" w:eastAsia="楷体_GB2312" w:hAnsi="Times New Roman" w:cs="Times New Roman"/>
                <w:color w:val="FF0000"/>
              </w:rPr>
              <w:t>不变蓝</w:t>
            </w:r>
          </w:p>
        </w:tc>
        <w:tc>
          <w:tcPr>
            <w:tcW w:w="1652" w:type="dxa"/>
            <w:gridSpan w:val="2"/>
            <w:vMerge w:val="restart"/>
            <w:vAlign w:val="center"/>
          </w:tcPr>
          <w:p w:rsidR="003C7293" w:rsidRPr="003C7293" w:rsidP="003C7293" w14:paraId="0BE4EDBE" w14:textId="77777777">
            <w:pPr>
              <w:spacing w:line="360" w:lineRule="auto"/>
              <w:ind w:left="-52" w:right="-52" w:leftChars="-25" w:rightChars="-25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在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A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  <w:vertAlign w:val="subscript"/>
              </w:rPr>
              <w:t>1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、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B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  <w:vertAlign w:val="subscript"/>
              </w:rPr>
              <w:t>1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中加入碘液，在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A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  <w:vertAlign w:val="subscript"/>
              </w:rPr>
              <w:t>2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、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B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  <w:vertAlign w:val="subscript"/>
              </w:rPr>
              <w:t>2</w:t>
            </w:r>
            <w:r w:rsidRPr="003C729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中加入斐林试剂并水浴加热</w:t>
            </w:r>
          </w:p>
        </w:tc>
      </w:tr>
      <w:tr w14:paraId="749CF3F1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Merge/>
            <w:vAlign w:val="center"/>
          </w:tcPr>
          <w:p w:rsidR="003C7293" w:rsidRPr="003C7293" w:rsidP="003C7293" w14:paraId="4370A45E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62" w:type="dxa"/>
            <w:vMerge/>
            <w:vAlign w:val="center"/>
          </w:tcPr>
          <w:p w:rsidR="003C7293" w:rsidRPr="003C7293" w:rsidP="003C7293" w14:paraId="535E918C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</w:p>
        </w:tc>
        <w:tc>
          <w:tcPr>
            <w:tcW w:w="392" w:type="dxa"/>
            <w:vMerge/>
            <w:vAlign w:val="center"/>
          </w:tcPr>
          <w:p w:rsidR="003C7293" w:rsidRPr="003C7293" w:rsidP="003C7293" w14:paraId="6E029B2C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</w:p>
        </w:tc>
        <w:tc>
          <w:tcPr>
            <w:tcW w:w="475" w:type="dxa"/>
            <w:vAlign w:val="center"/>
          </w:tcPr>
          <w:p w:rsidR="003C7293" w:rsidRPr="003C7293" w:rsidP="003C7293" w14:paraId="7507D5BA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  <w:r w:rsidRPr="003C7293">
              <w:rPr>
                <w:rFonts w:ascii="Times New Roman" w:eastAsia="宋体" w:hAnsi="Times New Roman" w:cs="Times New Roman"/>
                <w:bCs/>
                <w:color w:val="000000"/>
              </w:rPr>
              <w:t>A</w:t>
            </w:r>
            <w:r w:rsidRPr="003C7293">
              <w:rPr>
                <w:rFonts w:ascii="Times New Roman" w:eastAsia="宋体" w:hAnsi="Times New Roman" w:cs="Times New Roman"/>
                <w:bCs/>
                <w:color w:val="000000"/>
                <w:vertAlign w:val="subscript"/>
              </w:rPr>
              <w:t>2</w:t>
            </w:r>
          </w:p>
        </w:tc>
        <w:tc>
          <w:tcPr>
            <w:tcW w:w="2282" w:type="dxa"/>
            <w:vAlign w:val="center"/>
          </w:tcPr>
          <w:p w:rsidR="003C7293" w:rsidRPr="003C7293" w:rsidP="003C7293" w14:paraId="489F2C64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 w:hAnsi="Times New Roman" w:cs="Times New Roman"/>
                <w:color w:val="FF0000"/>
              </w:rPr>
            </w:pPr>
            <w:r w:rsidRPr="003C7293">
              <w:rPr>
                <w:rFonts w:ascii="楷体_GB2312" w:eastAsia="楷体_GB2312" w:hAnsi="Times New Roman" w:cs="Times New Roman"/>
                <w:color w:val="FF0000"/>
              </w:rPr>
              <w:t>产生砖红色沉淀</w:t>
            </w:r>
          </w:p>
        </w:tc>
        <w:tc>
          <w:tcPr>
            <w:tcW w:w="1652" w:type="dxa"/>
            <w:gridSpan w:val="2"/>
            <w:vMerge/>
            <w:vAlign w:val="center"/>
          </w:tcPr>
          <w:p w:rsidR="003C7293" w:rsidRPr="003C7293" w:rsidP="003C7293" w14:paraId="1D76E0DB" w14:textId="77777777">
            <w:pPr>
              <w:spacing w:line="360" w:lineRule="auto"/>
              <w:ind w:left="-25" w:right="-52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14:paraId="313489CD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Merge/>
            <w:vAlign w:val="center"/>
          </w:tcPr>
          <w:p w:rsidR="003C7293" w:rsidRPr="003C7293" w:rsidP="003C7293" w14:paraId="44476235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62" w:type="dxa"/>
            <w:vMerge/>
            <w:vAlign w:val="center"/>
          </w:tcPr>
          <w:p w:rsidR="003C7293" w:rsidRPr="003C7293" w:rsidP="003C7293" w14:paraId="018F5643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</w:p>
        </w:tc>
        <w:tc>
          <w:tcPr>
            <w:tcW w:w="392" w:type="dxa"/>
            <w:vMerge w:val="restart"/>
            <w:vAlign w:val="center"/>
          </w:tcPr>
          <w:p w:rsidR="003C7293" w:rsidRPr="003C7293" w:rsidP="003C7293" w14:paraId="72ECF4FF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  <w:r w:rsidRPr="003C7293">
              <w:rPr>
                <w:rFonts w:ascii="Times New Roman" w:eastAsia="宋体" w:hAnsi="Times New Roman" w:cs="Times New Roman"/>
                <w:bCs/>
                <w:color w:val="000000"/>
              </w:rPr>
              <w:t>B</w:t>
            </w:r>
          </w:p>
        </w:tc>
        <w:tc>
          <w:tcPr>
            <w:tcW w:w="475" w:type="dxa"/>
            <w:vAlign w:val="center"/>
          </w:tcPr>
          <w:p w:rsidR="003C7293" w:rsidRPr="003C7293" w:rsidP="003C7293" w14:paraId="077FBE5F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  <w:r w:rsidRPr="003C7293">
              <w:rPr>
                <w:rFonts w:ascii="Times New Roman" w:eastAsia="宋体" w:hAnsi="Times New Roman" w:cs="Times New Roman"/>
                <w:bCs/>
                <w:color w:val="000000"/>
              </w:rPr>
              <w:t>B</w:t>
            </w:r>
            <w:r w:rsidRPr="003C7293">
              <w:rPr>
                <w:rFonts w:ascii="Times New Roman" w:eastAsia="宋体" w:hAnsi="Times New Roman" w:cs="Times New Roman"/>
                <w:bCs/>
                <w:color w:val="000000"/>
                <w:vertAlign w:val="subscript"/>
              </w:rPr>
              <w:t>1</w:t>
            </w:r>
          </w:p>
        </w:tc>
        <w:tc>
          <w:tcPr>
            <w:tcW w:w="2282" w:type="dxa"/>
            <w:vAlign w:val="center"/>
          </w:tcPr>
          <w:p w:rsidR="003C7293" w:rsidRPr="003C7293" w:rsidP="003C7293" w14:paraId="4AB6F889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 w:hAnsi="Times New Roman" w:cs="Times New Roman"/>
                <w:color w:val="FF0000"/>
              </w:rPr>
            </w:pPr>
            <w:r w:rsidRPr="003C7293">
              <w:rPr>
                <w:rFonts w:ascii="楷体_GB2312" w:eastAsia="楷体_GB2312" w:hAnsi="Times New Roman" w:cs="Times New Roman"/>
                <w:color w:val="FF0000"/>
              </w:rPr>
              <w:t>变蓝</w:t>
            </w:r>
          </w:p>
        </w:tc>
        <w:tc>
          <w:tcPr>
            <w:tcW w:w="1652" w:type="dxa"/>
            <w:gridSpan w:val="2"/>
            <w:vMerge/>
            <w:vAlign w:val="center"/>
          </w:tcPr>
          <w:p w:rsidR="003C7293" w:rsidRPr="003C7293" w:rsidP="003C7293" w14:paraId="6869782F" w14:textId="77777777">
            <w:pPr>
              <w:spacing w:line="360" w:lineRule="auto"/>
              <w:ind w:left="-25" w:right="-52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14:paraId="61993B6A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Merge/>
            <w:vAlign w:val="center"/>
          </w:tcPr>
          <w:p w:rsidR="003C7293" w:rsidRPr="003C7293" w:rsidP="003C7293" w14:paraId="4797586F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62" w:type="dxa"/>
            <w:vMerge/>
            <w:vAlign w:val="center"/>
          </w:tcPr>
          <w:p w:rsidR="003C7293" w:rsidRPr="003C7293" w:rsidP="003C7293" w14:paraId="142887CC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</w:p>
        </w:tc>
        <w:tc>
          <w:tcPr>
            <w:tcW w:w="392" w:type="dxa"/>
            <w:vMerge/>
            <w:vAlign w:val="center"/>
          </w:tcPr>
          <w:p w:rsidR="003C7293" w:rsidRPr="003C7293" w:rsidP="003C7293" w14:paraId="71EE5F0B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</w:p>
        </w:tc>
        <w:tc>
          <w:tcPr>
            <w:tcW w:w="475" w:type="dxa"/>
            <w:vAlign w:val="center"/>
          </w:tcPr>
          <w:p w:rsidR="003C7293" w:rsidRPr="003C7293" w:rsidP="003C7293" w14:paraId="60C12334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</w:rPr>
            </w:pPr>
            <w:r w:rsidRPr="003C7293">
              <w:rPr>
                <w:rFonts w:ascii="Times New Roman" w:eastAsia="宋体" w:hAnsi="Times New Roman" w:cs="Times New Roman"/>
                <w:bCs/>
                <w:color w:val="000000"/>
              </w:rPr>
              <w:t>B</w:t>
            </w:r>
            <w:r w:rsidRPr="003C7293">
              <w:rPr>
                <w:rFonts w:ascii="Times New Roman" w:eastAsia="宋体" w:hAnsi="Times New Roman" w:cs="Times New Roman"/>
                <w:bCs/>
                <w:color w:val="000000"/>
                <w:vertAlign w:val="subscript"/>
              </w:rPr>
              <w:t>2</w:t>
            </w:r>
          </w:p>
        </w:tc>
        <w:tc>
          <w:tcPr>
            <w:tcW w:w="2282" w:type="dxa"/>
            <w:vAlign w:val="center"/>
          </w:tcPr>
          <w:p w:rsidR="003C7293" w:rsidRPr="003C7293" w:rsidP="003C7293" w14:paraId="6C70659E" w14:textId="77777777">
            <w:pPr>
              <w:tabs>
                <w:tab w:val="left" w:pos="540"/>
              </w:tabs>
              <w:spacing w:line="360" w:lineRule="auto"/>
              <w:ind w:left="-52" w:right="-52" w:leftChars="-25" w:rightChars="-25"/>
              <w:jc w:val="center"/>
              <w:rPr>
                <w:rFonts w:ascii="楷体_GB2312" w:eastAsia="楷体_GB2312" w:hAnsi="Times New Roman" w:cs="Times New Roman"/>
                <w:color w:val="FF0000"/>
              </w:rPr>
            </w:pPr>
            <w:r w:rsidRPr="003C7293">
              <w:rPr>
                <w:rFonts w:ascii="楷体_GB2312" w:eastAsia="楷体_GB2312" w:hAnsi="Times New Roman" w:cs="Times New Roman"/>
                <w:color w:val="FF0000"/>
              </w:rPr>
              <w:t>不产生砖红色沉淀</w:t>
            </w:r>
          </w:p>
        </w:tc>
        <w:tc>
          <w:tcPr>
            <w:tcW w:w="1652" w:type="dxa"/>
            <w:gridSpan w:val="2"/>
            <w:vMerge/>
            <w:vAlign w:val="center"/>
          </w:tcPr>
          <w:p w:rsidR="003C7293" w:rsidRPr="003C7293" w:rsidP="003C7293" w14:paraId="2EF75589" w14:textId="77777777">
            <w:pPr>
              <w:spacing w:line="360" w:lineRule="auto"/>
              <w:ind w:left="-25" w:right="-52" w:rightChars="-25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14:paraId="3D6FB0A3" w14:textId="77777777" w:rsidTr="0040170D">
        <w:tblPrEx>
          <w:tblW w:w="0" w:type="auto"/>
          <w:tblInd w:w="397" w:type="dxa"/>
          <w:tblLook w:val="04A0"/>
        </w:tblPrEx>
        <w:trPr>
          <w:trHeight w:val="340"/>
        </w:trPr>
        <w:tc>
          <w:tcPr>
            <w:tcW w:w="1293" w:type="dxa"/>
            <w:gridSpan w:val="2"/>
            <w:vAlign w:val="center"/>
          </w:tcPr>
          <w:p w:rsidR="003C7293" w:rsidRPr="003C7293" w:rsidP="003C7293" w14:paraId="4E8938C2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3C7293">
              <w:rPr>
                <w:rFonts w:ascii="Times New Roman" w:eastAsia="宋体" w:hAnsi="宋体" w:cs="Times New Roman"/>
                <w:bCs/>
              </w:rPr>
              <w:t>结论分析</w:t>
            </w:r>
          </w:p>
        </w:tc>
        <w:tc>
          <w:tcPr>
            <w:tcW w:w="3262" w:type="dxa"/>
            <w:vAlign w:val="center"/>
          </w:tcPr>
          <w:p w:rsidR="003C7293" w:rsidRPr="003C7293" w:rsidP="003C7293" w14:paraId="01534FDC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 w:rsidRPr="003C7293">
              <w:rPr>
                <w:rFonts w:ascii="Times New Roman" w:eastAsia="宋体" w:hAnsi="宋体" w:cs="Times New Roman"/>
                <w:bCs/>
                <w:color w:val="000000"/>
                <w:szCs w:val="21"/>
              </w:rPr>
              <w:t>微生物对落叶有</w:t>
            </w:r>
            <w:r w:rsidRPr="003C7293">
              <w:rPr>
                <w:rFonts w:ascii="楷体_GB2312" w:eastAsia="楷体_GB2312" w:hAnsi="Times New Roman" w:cs="Times New Roman" w:hint="eastAsia"/>
                <w:color w:val="FF0000"/>
                <w:u w:val="single" w:color="000000"/>
              </w:rPr>
              <w:t xml:space="preserve">  </w:t>
            </w:r>
            <w:r w:rsidRPr="003C7293">
              <w:rPr>
                <w:rFonts w:ascii="楷体_GB2312" w:eastAsia="楷体_GB2312" w:hAnsi="Times New Roman" w:cs="Times New Roman"/>
                <w:color w:val="FF0000"/>
                <w:u w:val="single" w:color="000000"/>
              </w:rPr>
              <w:t>分解</w:t>
            </w:r>
            <w:r w:rsidRPr="003C7293">
              <w:rPr>
                <w:rFonts w:ascii="楷体_GB2312" w:eastAsia="楷体_GB2312" w:hAnsi="Times New Roman" w:cs="Times New Roman" w:hint="eastAsia"/>
                <w:color w:val="FF0000"/>
                <w:u w:val="single" w:color="000000"/>
              </w:rPr>
              <w:t xml:space="preserve">  </w:t>
            </w:r>
            <w:r w:rsidRPr="003C7293">
              <w:rPr>
                <w:rFonts w:ascii="Times New Roman" w:eastAsia="宋体" w:hAnsi="宋体" w:cs="Times New Roman"/>
                <w:bCs/>
                <w:color w:val="000000"/>
                <w:szCs w:val="21"/>
              </w:rPr>
              <w:t>作用</w:t>
            </w:r>
          </w:p>
        </w:tc>
        <w:tc>
          <w:tcPr>
            <w:tcW w:w="4801" w:type="dxa"/>
            <w:gridSpan w:val="5"/>
            <w:vAlign w:val="center"/>
          </w:tcPr>
          <w:p w:rsidR="003C7293" w:rsidRPr="003C7293" w:rsidP="003C7293" w14:paraId="742B552E" w14:textId="77777777">
            <w:pPr>
              <w:spacing w:line="360" w:lineRule="auto"/>
              <w:ind w:left="-52" w:right="-52" w:leftChars="-25" w:rightChars="-25"/>
              <w:jc w:val="center"/>
              <w:rPr>
                <w:rFonts w:ascii="Times New Roman" w:eastAsia="宋体" w:hAnsi="宋体" w:cs="Times New Roman"/>
                <w:bCs/>
                <w:color w:val="000000"/>
                <w:szCs w:val="21"/>
              </w:rPr>
            </w:pPr>
            <w:r w:rsidRPr="003C7293">
              <w:rPr>
                <w:rFonts w:ascii="Times New Roman" w:eastAsia="宋体" w:hAnsi="宋体" w:cs="Times New Roman"/>
                <w:bCs/>
                <w:color w:val="000000"/>
                <w:szCs w:val="21"/>
              </w:rPr>
              <w:t>土壤浸出液中的微生物能</w:t>
            </w:r>
            <w:r w:rsidRPr="003C7293">
              <w:rPr>
                <w:rFonts w:ascii="楷体_GB2312" w:eastAsia="楷体_GB2312" w:hAnsi="Times New Roman" w:cs="Times New Roman" w:hint="eastAsia"/>
                <w:color w:val="FF0000"/>
                <w:u w:val="single" w:color="000000"/>
              </w:rPr>
              <w:t xml:space="preserve">  </w:t>
            </w:r>
            <w:r w:rsidRPr="003C7293">
              <w:rPr>
                <w:rFonts w:ascii="楷体_GB2312" w:eastAsia="楷体_GB2312" w:hAnsi="Times New Roman" w:cs="Times New Roman"/>
                <w:color w:val="FF0000"/>
                <w:u w:val="single" w:color="000000"/>
              </w:rPr>
              <w:t>分解</w:t>
            </w:r>
            <w:r w:rsidRPr="003C7293">
              <w:rPr>
                <w:rFonts w:ascii="楷体_GB2312" w:eastAsia="楷体_GB2312" w:hAnsi="Times New Roman" w:cs="Times New Roman" w:hint="eastAsia"/>
                <w:color w:val="FF0000"/>
                <w:u w:val="single" w:color="000000"/>
              </w:rPr>
              <w:t xml:space="preserve">  </w:t>
            </w:r>
            <w:r w:rsidRPr="003C7293">
              <w:rPr>
                <w:rFonts w:ascii="Times New Roman" w:eastAsia="宋体" w:hAnsi="宋体" w:cs="Times New Roman"/>
                <w:bCs/>
                <w:color w:val="000000"/>
                <w:szCs w:val="21"/>
              </w:rPr>
              <w:t>淀粉</w:t>
            </w:r>
          </w:p>
        </w:tc>
      </w:tr>
    </w:tbl>
    <w:p w:rsidR="003C00AC" w:rsidRPr="003C7293" w:rsidP="003C7293" w14:paraId="185E092F" w14:textId="5631933F">
      <w:pPr>
        <w:spacing w:line="360" w:lineRule="auto"/>
        <w:ind w:left="262" w:leftChars="125"/>
        <w:rPr>
          <w:rFonts w:ascii="宋体" w:eastAsia="宋体" w:hAnsi="宋体" w:cs="Times New Roman" w:hint="eastAsia"/>
          <w:bCs/>
        </w:rPr>
      </w:pPr>
      <w:r w:rsidRPr="003C7293">
        <w:rPr>
          <w:rFonts w:ascii="Times New Roman" w:eastAsia="宋体" w:hAnsi="Times New Roman" w:cs="Times New Roman" w:hint="eastAsia"/>
          <w:bCs/>
        </w:rPr>
        <w:t>注：案例</w:t>
      </w:r>
      <w:r w:rsidRPr="003C7293">
        <w:rPr>
          <w:rFonts w:ascii="Times New Roman" w:eastAsia="宋体" w:hAnsi="Times New Roman" w:cs="Times New Roman" w:hint="eastAsia"/>
          <w:bCs/>
        </w:rPr>
        <w:t>1</w:t>
      </w:r>
      <w:r w:rsidRPr="003C7293">
        <w:rPr>
          <w:rFonts w:ascii="Times New Roman" w:eastAsia="宋体" w:hAnsi="Times New Roman" w:cs="Times New Roman" w:hint="eastAsia"/>
          <w:bCs/>
        </w:rPr>
        <w:t>中实验组的土壤要进行处理，以尽可能排除土壤微生物的作用，同时要尽可能避免土壤理化性质的改</w:t>
      </w:r>
      <w:r w:rsidRPr="003C7293">
        <w:rPr>
          <w:rFonts w:ascii="宋体" w:eastAsia="宋体" w:hAnsi="宋体" w:cs="Times New Roman" w:hint="eastAsia"/>
          <w:bCs/>
        </w:rPr>
        <w:t>变(例</w:t>
      </w:r>
      <w:r w:rsidRPr="003C7293">
        <w:rPr>
          <w:rFonts w:ascii="Times New Roman" w:eastAsia="宋体" w:hAnsi="Times New Roman" w:cs="Times New Roman" w:hint="eastAsia"/>
          <w:bCs/>
        </w:rPr>
        <w:t>如，将土壤用塑料袋包好，放</w:t>
      </w:r>
      <w:r w:rsidRPr="003C7293">
        <w:rPr>
          <w:rFonts w:ascii="Times New Roman" w:eastAsia="宋体" w:hAnsi="Times New Roman" w:cs="Times New Roman"/>
          <w:bCs/>
        </w:rPr>
        <w:t>在</w:t>
      </w:r>
      <w:r w:rsidRPr="003C7293">
        <w:rPr>
          <w:rFonts w:ascii="Times New Roman" w:eastAsia="宋体" w:hAnsi="Times New Roman" w:cs="Times New Roman"/>
          <w:bCs/>
        </w:rPr>
        <w:t>60</w:t>
      </w:r>
      <w:r w:rsidRPr="003C7293">
        <w:rPr>
          <w:rFonts w:ascii="Times New Roman" w:eastAsia="宋体" w:hAnsi="宋体" w:cs="Times New Roman"/>
          <w:bCs/>
        </w:rPr>
        <w:t>℃恒温箱中</w:t>
      </w:r>
      <w:r w:rsidRPr="003C7293">
        <w:rPr>
          <w:rFonts w:ascii="Times New Roman" w:eastAsia="宋体" w:hAnsi="Times New Roman" w:cs="Times New Roman"/>
          <w:bCs/>
        </w:rPr>
        <w:t>1h</w:t>
      </w:r>
      <w:r w:rsidRPr="003C7293">
        <w:rPr>
          <w:rFonts w:ascii="Times New Roman" w:eastAsia="宋体" w:hAnsi="宋体" w:cs="Times New Roman"/>
          <w:bCs/>
        </w:rPr>
        <w:t>灭</w:t>
      </w:r>
      <w:r w:rsidRPr="003C7293">
        <w:rPr>
          <w:rFonts w:ascii="宋体" w:eastAsia="宋体" w:hAnsi="宋体" w:cs="Times New Roman" w:hint="eastAsia"/>
          <w:bCs/>
        </w:rPr>
        <w:t>菌)。</w:t>
      </w:r>
    </w:p>
    <w:p w:rsidR="003C00AC" w14:paraId="6A92FD8E" w14:textId="77777777">
      <w:r>
        <w:rPr>
          <w:rFonts w:hint="eastAsia"/>
        </w:rPr>
        <w:t>3.</w:t>
      </w:r>
      <w:r>
        <w:rPr>
          <w:rFonts w:hint="eastAsia"/>
        </w:rPr>
        <w:t>判断下列相关表述的正误</w:t>
      </w:r>
    </w:p>
    <w:p w:rsidR="003C7293" w:rsidRPr="003C7293" w:rsidP="003C7293" w14:paraId="7371802C" w14:textId="1838E82A">
      <w:pPr>
        <w:pStyle w:val="PlainText"/>
        <w:tabs>
          <w:tab w:val="left" w:pos="3402"/>
        </w:tabs>
        <w:snapToGrid w:val="0"/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(1)可采用直接加热烘干的方法除去实验组中的土壤微生物(　</w:t>
      </w:r>
      <w:r w:rsidRPr="003C7293">
        <w:rPr>
          <w:rFonts w:hAnsi="宋体" w:cs="Times New Roman"/>
          <w:color w:val="FF0000"/>
        </w:rPr>
        <w:t>×</w:t>
      </w:r>
      <w:r w:rsidRPr="003C7293">
        <w:rPr>
          <w:rFonts w:asciiTheme="minorEastAsia" w:eastAsiaTheme="minorEastAsia" w:hAnsiTheme="minorEastAsia" w:cs="Times New Roman"/>
        </w:rPr>
        <w:t>　)</w:t>
      </w:r>
    </w:p>
    <w:p w:rsidR="003C7293" w:rsidRPr="003C7293" w:rsidP="003C7293" w14:paraId="644EFD36" w14:textId="5A2F4C47">
      <w:pPr>
        <w:pStyle w:val="PlainText"/>
        <w:tabs>
          <w:tab w:val="left" w:pos="3402"/>
        </w:tabs>
        <w:snapToGrid w:val="0"/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(2)应将实验组和对照组的土壤放在隔绝空气的条件下(　</w:t>
      </w:r>
      <w:r w:rsidRPr="003C7293">
        <w:rPr>
          <w:rFonts w:hAnsi="宋体" w:cs="Times New Roman"/>
          <w:color w:val="FF0000"/>
        </w:rPr>
        <w:t>×</w:t>
      </w:r>
      <w:r w:rsidRPr="003C7293">
        <w:rPr>
          <w:rFonts w:asciiTheme="minorEastAsia" w:eastAsiaTheme="minorEastAsia" w:hAnsiTheme="minorEastAsia" w:cs="Times New Roman"/>
        </w:rPr>
        <w:t>　)</w:t>
      </w:r>
    </w:p>
    <w:p w:rsidR="003C7293" w:rsidRPr="003C7293" w:rsidP="003C7293" w14:paraId="4554E9BE" w14:textId="697B5237">
      <w:pPr>
        <w:pStyle w:val="PlainText"/>
        <w:tabs>
          <w:tab w:val="left" w:pos="3402"/>
        </w:tabs>
        <w:snapToGrid w:val="0"/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(3)对照组中落叶的分解速度明显高于实验组(　</w:t>
      </w:r>
      <w:r w:rsidRPr="003C7293">
        <w:rPr>
          <w:rFonts w:hAnsi="宋体" w:cs="Times New Roman"/>
          <w:color w:val="FF0000"/>
        </w:rPr>
        <w:t>√</w:t>
      </w:r>
      <w:r w:rsidRPr="003C7293">
        <w:rPr>
          <w:rFonts w:asciiTheme="minorEastAsia" w:eastAsiaTheme="minorEastAsia" w:hAnsiTheme="minorEastAsia" w:cs="Times New Roman"/>
        </w:rPr>
        <w:t>　)</w:t>
      </w:r>
    </w:p>
    <w:p w:rsidR="003C7293" w:rsidRPr="003C7293" w:rsidP="003C7293" w14:paraId="7B6769BA" w14:textId="5ECA7E64">
      <w:pPr>
        <w:pStyle w:val="PlainText"/>
        <w:tabs>
          <w:tab w:val="left" w:pos="3402"/>
        </w:tabs>
        <w:snapToGrid w:val="0"/>
        <w:spacing w:line="360" w:lineRule="auto"/>
        <w:rPr>
          <w:rFonts w:asciiTheme="minorEastAsia" w:eastAsiaTheme="minorEastAsia" w:hAnsiTheme="minorEastAsia" w:cs="Times New Roman" w:hint="eastAsia"/>
        </w:rPr>
      </w:pPr>
      <w:r w:rsidRPr="003C7293">
        <w:rPr>
          <w:rFonts w:asciiTheme="minorEastAsia" w:eastAsiaTheme="minorEastAsia" w:hAnsiTheme="minorEastAsia" w:cs="Times New Roman"/>
        </w:rPr>
        <w:t>(4)实验组和对照组可以分别选择不同种类的落叶进行实验(　</w:t>
      </w:r>
      <w:r w:rsidRPr="003C7293">
        <w:rPr>
          <w:rFonts w:hAnsi="宋体" w:cs="Times New Roman"/>
          <w:color w:val="FF0000"/>
        </w:rPr>
        <w:t>×</w:t>
      </w:r>
      <w:r w:rsidRPr="003C7293">
        <w:rPr>
          <w:rFonts w:asciiTheme="minorEastAsia" w:eastAsiaTheme="minorEastAsia" w:hAnsiTheme="minorEastAsia" w:cs="Times New Roman"/>
        </w:rPr>
        <w:t>　)</w:t>
      </w:r>
    </w:p>
    <w:p w:rsidR="003C00AC" w14:paraId="45FAC62D" w14:textId="77777777">
      <w:pPr>
        <w:rPr>
          <w:sz w:val="24"/>
        </w:rPr>
      </w:pPr>
    </w:p>
    <w:p w:rsidR="003C00AC" w14:paraId="4091945A" w14:textId="77777777">
      <w:r>
        <w:rPr>
          <w:noProof/>
        </w:rPr>
        <w:drawing>
          <wp:inline distT="0" distB="0" distL="114300" distR="114300">
            <wp:extent cx="1019175" cy="238760"/>
            <wp:effectExtent l="0" t="0" r="9525" b="889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293" w:rsidRPr="003C7293" w:rsidP="003C7293" w14:paraId="7438795C" w14:textId="142C9174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Arial"/>
        </w:rPr>
        <w:t>3</w:t>
      </w:r>
      <w:r w:rsidRPr="003C7293">
        <w:rPr>
          <w:rFonts w:asciiTheme="minorEastAsia" w:eastAsiaTheme="minorEastAsia" w:hAnsiTheme="minorEastAsia" w:cs="Arial"/>
        </w:rPr>
        <w:t>.</w:t>
      </w:r>
      <w:r w:rsidRPr="003C7293">
        <w:rPr>
          <w:rFonts w:asciiTheme="minorEastAsia" w:eastAsiaTheme="minorEastAsia" w:hAnsiTheme="minorEastAsia" w:cs="Times New Roman"/>
        </w:rPr>
        <w:t>多氯联苯(PCB)是人工合成、不易被降解的有机物，有强致畸性，青岛近海海域及生物体内PCB的含量如表。</w:t>
      </w:r>
      <w:r w:rsidRPr="003C7293">
        <w:rPr>
          <w:rFonts w:asciiTheme="minorEastAsia" w:eastAsiaTheme="minorEastAsia" w:hAnsiTheme="minorEastAsia" w:cs="Times New Roman" w:hint="eastAsia"/>
        </w:rPr>
        <w:t>下列叙述错误的是</w:t>
      </w:r>
      <w:r w:rsidRPr="003C7293">
        <w:rPr>
          <w:rFonts w:asciiTheme="minorEastAsia" w:eastAsiaTheme="minorEastAsia" w:hAnsiTheme="minorEastAsia" w:cs="Times New Roman"/>
        </w:rPr>
        <w:t>(　　)</w:t>
      </w:r>
    </w:p>
    <w:tbl>
      <w:tblPr>
        <w:tblW w:w="7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1"/>
        <w:gridCol w:w="2268"/>
        <w:gridCol w:w="1842"/>
        <w:gridCol w:w="1621"/>
        <w:gridCol w:w="869"/>
      </w:tblGrid>
      <w:tr w14:paraId="73BB8BF5" w14:textId="77777777" w:rsidTr="0040170D">
        <w:tblPrEx>
          <w:tblW w:w="792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321" w:type="dxa"/>
            <w:vMerge w:val="restart"/>
            <w:shd w:val="clear" w:color="auto" w:fill="auto"/>
            <w:vAlign w:val="center"/>
          </w:tcPr>
          <w:p w:rsidR="003C7293" w:rsidRPr="003C7293" w:rsidP="0040170D" w14:paraId="3594B7BB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采样点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C7293" w:rsidRPr="003C7293" w:rsidP="0040170D" w14:paraId="25595DC6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海域PCB平均含量/(</w:t>
            </w:r>
            <w:r w:rsidRPr="003C7293">
              <w:rPr>
                <w:rFonts w:asciiTheme="minorEastAsia" w:eastAsiaTheme="minorEastAsia" w:hAnsiTheme="minorEastAsia" w:cs="Times New Roman"/>
              </w:rPr>
              <w:t>ng·g</w:t>
            </w:r>
            <w:r w:rsidRPr="003C7293">
              <w:rPr>
                <w:rFonts w:asciiTheme="minorEastAsia" w:eastAsiaTheme="minorEastAsia" w:hAnsiTheme="minorEastAsia" w:cs="Times New Roman"/>
                <w:vertAlign w:val="superscript"/>
              </w:rPr>
              <w:t>－1</w:t>
            </w:r>
            <w:r w:rsidRPr="003C7293">
              <w:rPr>
                <w:rFonts w:asciiTheme="minorEastAsia" w:eastAsiaTheme="minorEastAsia" w:hAnsiTheme="minorEastAsia" w:cs="Times New Roman"/>
              </w:rPr>
              <w:t>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3C7293" w:rsidRPr="003C7293" w:rsidP="0040170D" w14:paraId="706F2A6D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肌肉组织PCB平均含量/(</w:t>
            </w:r>
            <w:r w:rsidRPr="003C7293">
              <w:rPr>
                <w:rFonts w:asciiTheme="minorEastAsia" w:eastAsiaTheme="minorEastAsia" w:hAnsiTheme="minorEastAsia" w:cs="Times New Roman"/>
              </w:rPr>
              <w:t>ng·g</w:t>
            </w:r>
            <w:r w:rsidRPr="003C7293">
              <w:rPr>
                <w:rFonts w:asciiTheme="minorEastAsia" w:eastAsiaTheme="minorEastAsia" w:hAnsiTheme="minorEastAsia" w:cs="Times New Roman"/>
                <w:vertAlign w:val="superscript"/>
              </w:rPr>
              <w:t>－1</w:t>
            </w:r>
            <w:r w:rsidRPr="003C7293">
              <w:rPr>
                <w:rFonts w:asciiTheme="minorEastAsia" w:eastAsiaTheme="minorEastAsia" w:hAnsiTheme="minorEastAsia" w:cs="Times New Roman"/>
              </w:rPr>
              <w:t>)</w:t>
            </w:r>
          </w:p>
        </w:tc>
      </w:tr>
      <w:tr w14:paraId="79813D56" w14:textId="77777777" w:rsidTr="0040170D">
        <w:tblPrEx>
          <w:tblW w:w="7921" w:type="dxa"/>
          <w:jc w:val="center"/>
          <w:tblLayout w:type="fixed"/>
          <w:tblLook w:val="0000"/>
        </w:tblPrEx>
        <w:trPr>
          <w:jc w:val="center"/>
        </w:trPr>
        <w:tc>
          <w:tcPr>
            <w:tcW w:w="1321" w:type="dxa"/>
            <w:vMerge/>
            <w:shd w:val="clear" w:color="auto" w:fill="auto"/>
            <w:vAlign w:val="center"/>
          </w:tcPr>
          <w:p w:rsidR="003C7293" w:rsidRPr="003C7293" w:rsidP="0040170D" w14:paraId="7CF539A6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C7293" w:rsidRPr="003C7293" w:rsidP="0040170D" w14:paraId="66B19B0D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7293" w:rsidRPr="003C7293" w:rsidP="0040170D" w14:paraId="46962467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鱼类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C7293" w:rsidRPr="003C7293" w:rsidP="0040170D" w14:paraId="08FF65BA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软体类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C7293" w:rsidRPr="003C7293" w:rsidP="0040170D" w14:paraId="48EE5009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虾类</w:t>
            </w:r>
          </w:p>
        </w:tc>
      </w:tr>
      <w:tr w14:paraId="4234B1A9" w14:textId="77777777" w:rsidTr="0040170D">
        <w:tblPrEx>
          <w:tblW w:w="7921" w:type="dxa"/>
          <w:jc w:val="center"/>
          <w:tblLayout w:type="fixed"/>
          <w:tblLook w:val="0000"/>
        </w:tblPrEx>
        <w:trPr>
          <w:jc w:val="center"/>
        </w:trPr>
        <w:tc>
          <w:tcPr>
            <w:tcW w:w="1321" w:type="dxa"/>
            <w:shd w:val="clear" w:color="auto" w:fill="auto"/>
            <w:vAlign w:val="center"/>
          </w:tcPr>
          <w:p w:rsidR="003C7293" w:rsidRPr="003C7293" w:rsidP="0040170D" w14:paraId="6E1B04CD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7293" w:rsidRPr="003C7293" w:rsidP="0040170D" w14:paraId="1D94105B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6.58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7293" w:rsidRPr="003C7293" w:rsidP="0040170D" w14:paraId="54442B7B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116.4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C7293" w:rsidRPr="003C7293" w:rsidP="0040170D" w14:paraId="5644DEE8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97.5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C7293" w:rsidRPr="003C7293" w:rsidP="0040170D" w14:paraId="2B28403A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90.8</w:t>
            </w:r>
          </w:p>
        </w:tc>
      </w:tr>
      <w:tr w14:paraId="189434F3" w14:textId="77777777" w:rsidTr="0040170D">
        <w:tblPrEx>
          <w:tblW w:w="7921" w:type="dxa"/>
          <w:jc w:val="center"/>
          <w:tblLayout w:type="fixed"/>
          <w:tblLook w:val="0000"/>
        </w:tblPrEx>
        <w:trPr>
          <w:jc w:val="center"/>
        </w:trPr>
        <w:tc>
          <w:tcPr>
            <w:tcW w:w="1321" w:type="dxa"/>
            <w:shd w:val="clear" w:color="auto" w:fill="auto"/>
            <w:vAlign w:val="center"/>
          </w:tcPr>
          <w:p w:rsidR="003C7293" w:rsidRPr="003C7293" w:rsidP="0040170D" w14:paraId="7A9069E5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7293" w:rsidRPr="003C7293" w:rsidP="0040170D" w14:paraId="113B7DAA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10.76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7293" w:rsidRPr="003C7293" w:rsidP="0040170D" w14:paraId="3250A5D2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547.3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C7293" w:rsidRPr="003C7293" w:rsidP="0040170D" w14:paraId="5AF63291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386.7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C7293" w:rsidRPr="003C7293" w:rsidP="0040170D" w14:paraId="31FED73E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121.4</w:t>
            </w:r>
          </w:p>
        </w:tc>
      </w:tr>
      <w:tr w14:paraId="38D572DC" w14:textId="77777777" w:rsidTr="0040170D">
        <w:tblPrEx>
          <w:tblW w:w="7921" w:type="dxa"/>
          <w:jc w:val="center"/>
          <w:tblLayout w:type="fixed"/>
          <w:tblLook w:val="0000"/>
        </w:tblPrEx>
        <w:trPr>
          <w:jc w:val="center"/>
        </w:trPr>
        <w:tc>
          <w:tcPr>
            <w:tcW w:w="1321" w:type="dxa"/>
            <w:shd w:val="clear" w:color="auto" w:fill="auto"/>
            <w:vAlign w:val="center"/>
          </w:tcPr>
          <w:p w:rsidR="003C7293" w:rsidRPr="003C7293" w:rsidP="0040170D" w14:paraId="08C01670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7293" w:rsidRPr="003C7293" w:rsidP="0040170D" w14:paraId="4C297717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9.16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7293" w:rsidRPr="003C7293" w:rsidP="0040170D" w14:paraId="6DCA943B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524.9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C7293" w:rsidRPr="003C7293" w:rsidP="0040170D" w14:paraId="0FA58456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138.3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C7293" w:rsidRPr="003C7293" w:rsidP="0040170D" w14:paraId="5BD2961B" w14:textId="77777777">
            <w:pPr>
              <w:pStyle w:val="PlainText"/>
              <w:tabs>
                <w:tab w:val="left" w:pos="3828"/>
              </w:tabs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C7293">
              <w:rPr>
                <w:rFonts w:asciiTheme="minorEastAsia" w:eastAsiaTheme="minorEastAsia" w:hAnsiTheme="minorEastAsia" w:cs="Times New Roman"/>
              </w:rPr>
              <w:t>154.7</w:t>
            </w:r>
          </w:p>
        </w:tc>
      </w:tr>
    </w:tbl>
    <w:p w:rsidR="003C7293" w:rsidRPr="003C7293" w:rsidP="003C7293" w14:paraId="6FA42EB9" w14:textId="77777777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A.PCB在生物体内积累造成生物富集现象</w:t>
      </w:r>
    </w:p>
    <w:p w:rsidR="003C7293" w:rsidRPr="003C7293" w:rsidP="003C7293" w14:paraId="08A15005" w14:textId="77777777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B.根据结果推测鱼类可能处于较高营养级</w:t>
      </w:r>
    </w:p>
    <w:p w:rsidR="003C7293" w:rsidRPr="003C7293" w:rsidP="003C7293" w14:paraId="2F877701" w14:textId="77777777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C.若PCB扩散到远海水域，则体现了物质循环具有全球性</w:t>
      </w:r>
    </w:p>
    <w:p w:rsidR="003C7293" w:rsidRPr="003C7293" w:rsidP="003C7293" w14:paraId="7AED3B20" w14:textId="77777777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</w:rPr>
      </w:pPr>
      <w:r w:rsidRPr="003C7293">
        <w:rPr>
          <w:rFonts w:asciiTheme="minorEastAsia" w:eastAsiaTheme="minorEastAsia" w:hAnsiTheme="minorEastAsia" w:cs="Times New Roman"/>
        </w:rPr>
        <w:t>D.PCB污染说明PCB在环境中的存在形式不稳定</w:t>
      </w:r>
    </w:p>
    <w:p w:rsidR="003C7293" w:rsidRPr="003C7293" w:rsidP="003C7293" w14:paraId="7A022BB0" w14:textId="77777777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  <w:color w:val="FF0000"/>
        </w:rPr>
      </w:pPr>
      <w:r w:rsidRPr="003C7293">
        <w:rPr>
          <w:rFonts w:asciiTheme="minorEastAsia" w:eastAsiaTheme="minorEastAsia" w:hAnsiTheme="minorEastAsia" w:cs="Times New Roman"/>
          <w:color w:val="FF0000"/>
        </w:rPr>
        <w:t>答案　D</w:t>
      </w:r>
    </w:p>
    <w:p w:rsidR="003C7293" w:rsidRPr="003C7293" w:rsidP="003C7293" w14:paraId="405302E3" w14:textId="77777777">
      <w:pPr>
        <w:pStyle w:val="PlainText"/>
        <w:tabs>
          <w:tab w:val="left" w:pos="3828"/>
        </w:tabs>
        <w:spacing w:line="360" w:lineRule="auto"/>
        <w:rPr>
          <w:rFonts w:asciiTheme="minorEastAsia" w:eastAsiaTheme="minorEastAsia" w:hAnsiTheme="minorEastAsia" w:cs="Times New Roman"/>
          <w:color w:val="FF0000"/>
        </w:rPr>
      </w:pPr>
      <w:r w:rsidRPr="003C7293">
        <w:rPr>
          <w:rFonts w:asciiTheme="minorEastAsia" w:eastAsiaTheme="minorEastAsia" w:hAnsiTheme="minorEastAsia" w:cs="Times New Roman"/>
          <w:color w:val="FF0000"/>
        </w:rPr>
        <w:t>解析　由题意可知，PCB不易被降解，其在环境中的存在形式较稳定，在生物体内积累造成生物富</w:t>
      </w:r>
      <w:r w:rsidRPr="003C7293">
        <w:rPr>
          <w:rFonts w:asciiTheme="minorEastAsia" w:eastAsiaTheme="minorEastAsia" w:hAnsiTheme="minorEastAsia" w:cs="Times New Roman" w:hint="eastAsia"/>
          <w:color w:val="FF0000"/>
        </w:rPr>
        <w:t>集现象，</w:t>
      </w:r>
      <w:r w:rsidRPr="003C7293">
        <w:rPr>
          <w:rFonts w:asciiTheme="minorEastAsia" w:eastAsiaTheme="minorEastAsia" w:hAnsiTheme="minorEastAsia" w:cs="Times New Roman"/>
          <w:color w:val="FF0000"/>
        </w:rPr>
        <w:t>A正确，D错误；有毒物质会沿食物链流动并逐级积累，营养级越高有毒物质积累越多，由表可知，鱼类体内PCB平均含量最多，所以鱼类可能处于较高营养级，B正确；若PCB扩散到远海水域，则可随洋流等扩散至全球，体现了物质循环具有全球性，C正确。</w:t>
      </w:r>
    </w:p>
    <w:p w:rsidR="003C7293" w:rsidRPr="001F3B18" w:rsidP="003C7293" w14:paraId="75966046" w14:textId="5EC699D2"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黑体" w:hAnsi="Arial" w:cs="Arial"/>
          <w:sz w:val="24"/>
          <w:szCs w:val="24"/>
        </w:rPr>
        <w:t>4.</w:t>
      </w:r>
      <w:r w:rsidRPr="001F3B18">
        <w:rPr>
          <w:rFonts w:ascii="Times New Roman" w:hAnsi="Times New Roman" w:cs="Times New Roman"/>
          <w:sz w:val="24"/>
          <w:szCs w:val="24"/>
        </w:rPr>
        <w:t xml:space="preserve"> </w:t>
      </w:r>
      <w:r w:rsidRPr="001F3B18">
        <w:rPr>
          <w:rFonts w:ascii="Times New Roman" w:hAnsi="Times New Roman" w:cs="Times New Roman"/>
          <w:sz w:val="24"/>
          <w:szCs w:val="24"/>
        </w:rPr>
        <w:t>为探究落叶是否是在土壤微生物的作用下腐烂的，下列实验设计中，错误的是</w:t>
      </w:r>
      <w:r w:rsidRPr="001F3B18">
        <w:rPr>
          <w:rFonts w:ascii="Times New Roman" w:hAnsi="Times New Roman" w:cs="Times New Roman"/>
          <w:sz w:val="24"/>
          <w:szCs w:val="24"/>
        </w:rPr>
        <w:t>(</w:t>
      </w:r>
      <w:r w:rsidRPr="001F3B18">
        <w:rPr>
          <w:rFonts w:ascii="Times New Roman" w:hAnsi="Times New Roman" w:cs="Times New Roman"/>
          <w:sz w:val="24"/>
          <w:szCs w:val="24"/>
        </w:rPr>
        <w:t>　　</w:t>
      </w:r>
      <w:r w:rsidRPr="001F3B18">
        <w:rPr>
          <w:rFonts w:ascii="Times New Roman" w:hAnsi="Times New Roman" w:cs="Times New Roman"/>
          <w:sz w:val="24"/>
          <w:szCs w:val="24"/>
        </w:rPr>
        <w:t>)</w:t>
      </w:r>
    </w:p>
    <w:p w:rsidR="003C7293" w:rsidRPr="001F3B18" w:rsidP="003C7293" w14:paraId="24F85970" w14:textId="77777777"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3B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3B18">
        <w:rPr>
          <w:rFonts w:ascii="Times New Roman" w:hAnsi="Times New Roman" w:cs="Times New Roman"/>
          <w:sz w:val="24"/>
          <w:szCs w:val="24"/>
        </w:rPr>
        <w:t>可选择带有落叶的土壤为实验材料，筛选出落叶和土壤</w:t>
      </w:r>
    </w:p>
    <w:p w:rsidR="003C7293" w:rsidRPr="001F3B18" w:rsidP="003C7293" w14:paraId="668BE8D7" w14:textId="77777777"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3B1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3B18">
        <w:rPr>
          <w:rFonts w:ascii="Times New Roman" w:hAnsi="Times New Roman" w:cs="Times New Roman"/>
          <w:sz w:val="24"/>
          <w:szCs w:val="24"/>
        </w:rPr>
        <w:t>将落叶平均分成两份，置于网兜中</w:t>
      </w:r>
    </w:p>
    <w:p w:rsidR="003C7293" w:rsidRPr="001F3B18" w:rsidP="003C7293" w14:paraId="20706111" w14:textId="77777777"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3B1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3B18">
        <w:rPr>
          <w:rFonts w:ascii="Times New Roman" w:hAnsi="Times New Roman" w:cs="Times New Roman"/>
          <w:sz w:val="24"/>
          <w:szCs w:val="24"/>
        </w:rPr>
        <w:t>把土壤分成两组，对照组土壤进行接种微生物处理，实验组土壤不做处理</w:t>
      </w:r>
    </w:p>
    <w:p w:rsidR="003C7293" w:rsidRPr="001F3B18" w:rsidP="003C7293" w14:paraId="12487E4E" w14:textId="77777777">
      <w:pPr>
        <w:pStyle w:val="PlainText"/>
        <w:tabs>
          <w:tab w:val="left" w:pos="38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3B1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3B18">
        <w:rPr>
          <w:rFonts w:ascii="Times New Roman" w:hAnsi="Times New Roman" w:cs="Times New Roman"/>
          <w:sz w:val="24"/>
          <w:szCs w:val="24"/>
        </w:rPr>
        <w:t>将落叶连同网兜分别埋入对照组和实验组两组土壤中，观察腐烂情况</w:t>
      </w:r>
    </w:p>
    <w:p w:rsidR="003C7293" w:rsidRPr="003C7293" w:rsidP="003C7293" w14:paraId="02222180" w14:textId="77777777">
      <w:pPr>
        <w:pStyle w:val="PlainText"/>
        <w:tabs>
          <w:tab w:val="left" w:pos="3828"/>
        </w:tabs>
        <w:spacing w:line="276" w:lineRule="auto"/>
        <w:rPr>
          <w:rFonts w:asciiTheme="minorEastAsia" w:eastAsiaTheme="minorEastAsia" w:hAnsiTheme="minorEastAsia" w:cs="Times New Roman"/>
          <w:color w:val="FF0000"/>
        </w:rPr>
      </w:pPr>
      <w:r w:rsidRPr="003C7293">
        <w:rPr>
          <w:rFonts w:asciiTheme="minorEastAsia" w:eastAsiaTheme="minorEastAsia" w:hAnsiTheme="minorEastAsia" w:cs="Times New Roman"/>
          <w:color w:val="FF0000"/>
        </w:rPr>
        <w:t>答案　C</w:t>
      </w:r>
    </w:p>
    <w:p w:rsidR="003C00AC" w:rsidP="003C7293" w14:paraId="28F9F526" w14:textId="206642A2">
      <w:pPr>
        <w:pStyle w:val="PlainText"/>
        <w:tabs>
          <w:tab w:val="left" w:pos="3828"/>
        </w:tabs>
        <w:spacing w:line="276" w:lineRule="auto"/>
        <w:jc w:val="left"/>
        <w:rPr>
          <w:rFonts w:asciiTheme="minorEastAsia" w:eastAsiaTheme="minorEastAsia" w:hAnsiTheme="minorEastAsia" w:cs="Times New Roman"/>
          <w:color w:val="FF0000"/>
        </w:rPr>
      </w:pPr>
      <w:r w:rsidRPr="003C7293">
        <w:rPr>
          <w:rFonts w:asciiTheme="minorEastAsia" w:eastAsiaTheme="minorEastAsia" w:hAnsiTheme="minorEastAsia" w:cs="Times New Roman"/>
          <w:color w:val="FF0000"/>
        </w:rPr>
        <w:t>解析　实验组和对照组的单一变量是土壤中是否含有微生物</w:t>
      </w:r>
      <w:r w:rsidRPr="003C7293">
        <w:rPr>
          <w:rFonts w:asciiTheme="minorEastAsia" w:eastAsiaTheme="minorEastAsia" w:hAnsiTheme="minorEastAsia" w:cs="Times New Roman" w:hint="eastAsia"/>
          <w:color w:val="FF0000"/>
        </w:rPr>
        <w:t>。所以对照组应为不做处理的自然土壤，而实验组应将土壤进行灭菌处理，尽可能排除土壤微生物的作用。</w:t>
      </w:r>
    </w:p>
    <w:p w:rsidR="003C7293" w:rsidRPr="00C43F23" w:rsidP="003C7293" w14:paraId="448B53C0" w14:textId="7EFF2EB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某生物兴趣小组以带有落叶的表层土壤</w:t>
      </w:r>
      <w:r>
        <w:rPr>
          <w:rFonts w:ascii="Times New Roman" w:hAnsi="Times New Roman" w:cs="Times New Roman"/>
        </w:rPr>
        <w:t>(</w:t>
      </w:r>
      <w:r w:rsidRPr="00C43F23">
        <w:rPr>
          <w:rFonts w:ascii="Times New Roman" w:hAnsi="Times New Roman" w:cs="Times New Roman"/>
        </w:rPr>
        <w:t>深</w:t>
      </w:r>
      <w:r w:rsidRPr="00C43F2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C43F23">
        <w:rPr>
          <w:rFonts w:ascii="Times New Roman" w:hAnsi="Times New Roman" w:cs="Times New Roman"/>
        </w:rPr>
        <w:t>cm</w:t>
      </w:r>
      <w:r w:rsidRPr="00C43F23">
        <w:rPr>
          <w:rFonts w:ascii="Times New Roman" w:hAnsi="Times New Roman" w:cs="Times New Roman"/>
        </w:rPr>
        <w:t>左右</w:t>
      </w:r>
      <w:r>
        <w:rPr>
          <w:rFonts w:ascii="Times New Roman" w:hAnsi="Times New Roman" w:cs="Times New Roman"/>
        </w:rPr>
        <w:t>)</w:t>
      </w:r>
      <w:r w:rsidRPr="00C43F23">
        <w:rPr>
          <w:rFonts w:ascii="Times New Roman" w:hAnsi="Times New Roman" w:cs="Times New Roman"/>
        </w:rPr>
        <w:t>为实验材料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研究土壤微生物在适宜温度下的分解作用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对土壤处理情况如表所示</w:t>
      </w:r>
      <w:r>
        <w:rPr>
          <w:rFonts w:ascii="Times New Roman" w:hAnsi="Times New Roman" w:cs="Times New Roman"/>
        </w:rPr>
        <w:t>。</w:t>
      </w:r>
      <w:r w:rsidRPr="00C43F23">
        <w:rPr>
          <w:rFonts w:ascii="Times New Roman" w:hAnsi="Times New Roman" w:cs="Times New Roman"/>
        </w:rPr>
        <w:t>下列有关叙述不正确的是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1026"/>
        <w:gridCol w:w="1026"/>
        <w:gridCol w:w="1505"/>
        <w:gridCol w:w="1157"/>
      </w:tblGrid>
      <w:tr w14:paraId="6C3FDBBC" w14:textId="77777777" w:rsidTr="0040170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C7293" w:rsidRPr="00C43F23" w:rsidP="0040170D" w14:paraId="3018BCED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组别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40149136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1</w:t>
            </w:r>
            <w:r w:rsidRPr="00C43F23">
              <w:rPr>
                <w:rFonts w:ascii="Times New Roman" w:hAnsi="Times New Roman" w:cs="Times New Roman"/>
              </w:rPr>
              <w:t>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70139889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2</w:t>
            </w:r>
            <w:r w:rsidRPr="00C43F23">
              <w:rPr>
                <w:rFonts w:ascii="Times New Roman" w:hAnsi="Times New Roman" w:cs="Times New Roman"/>
              </w:rPr>
              <w:t>组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7293" w:rsidRPr="00C43F23" w:rsidP="0040170D" w14:paraId="3ACFAA65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3</w:t>
            </w:r>
            <w:r w:rsidRPr="00C43F23">
              <w:rPr>
                <w:rFonts w:ascii="Times New Roman" w:hAnsi="Times New Roman" w:cs="Times New Roman"/>
              </w:rPr>
              <w:t>组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7293" w:rsidRPr="00C43F23" w:rsidP="0040170D" w14:paraId="4BC8AA73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C43F23">
              <w:rPr>
                <w:rFonts w:ascii="Times New Roman" w:hAnsi="Times New Roman" w:cs="Times New Roman"/>
              </w:rPr>
              <w:t>4</w:t>
            </w:r>
            <w:r w:rsidRPr="00C43F23">
              <w:rPr>
                <w:rFonts w:ascii="Times New Roman" w:hAnsi="Times New Roman" w:cs="Times New Roman"/>
              </w:rPr>
              <w:t>组</w:t>
            </w:r>
          </w:p>
        </w:tc>
      </w:tr>
      <w:tr w14:paraId="026B968B" w14:textId="77777777" w:rsidTr="0040170D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:rsidR="003C7293" w:rsidRPr="00C43F23" w:rsidP="0040170D" w14:paraId="68DDB2F5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土壤处理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1C273DFE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C43F23">
              <w:rPr>
                <w:rFonts w:ascii="Times New Roman" w:hAnsi="Times New Roman" w:cs="Times New Roman"/>
              </w:rPr>
              <w:t>灭菌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2881FCB6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C43F23">
              <w:rPr>
                <w:rFonts w:ascii="Times New Roman" w:hAnsi="Times New Roman" w:cs="Times New Roman"/>
              </w:rPr>
              <w:t>不</w:t>
            </w:r>
            <w:r w:rsidRPr="00C43F23">
              <w:rPr>
                <w:rFonts w:ascii="Times New Roman" w:hAnsi="Times New Roman" w:cs="Times New Roman"/>
              </w:rPr>
              <w:t>灭菌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7293" w:rsidRPr="00C43F23" w:rsidP="0040170D" w14:paraId="1DC897E1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C43F23">
              <w:rPr>
                <w:rFonts w:ascii="Times New Roman" w:hAnsi="Times New Roman" w:cs="Times New Roman"/>
              </w:rPr>
              <w:t>灭菌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7293" w:rsidRPr="00C43F23" w:rsidP="0040170D" w14:paraId="33774A56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C43F23">
              <w:rPr>
                <w:rFonts w:ascii="Times New Roman" w:hAnsi="Times New Roman" w:cs="Times New Roman"/>
              </w:rPr>
              <w:t>不</w:t>
            </w:r>
            <w:r w:rsidRPr="00C43F23">
              <w:rPr>
                <w:rFonts w:ascii="Times New Roman" w:hAnsi="Times New Roman" w:cs="Times New Roman"/>
              </w:rPr>
              <w:t>灭菌</w:t>
            </w:r>
          </w:p>
        </w:tc>
      </w:tr>
      <w:tr w14:paraId="60C63DF0" w14:textId="77777777" w:rsidTr="0040170D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3C7293" w:rsidRPr="00C43F23" w:rsidP="0040170D" w14:paraId="747B090B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2F16CDD5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湿润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C7293" w:rsidRPr="00C43F23" w:rsidP="0040170D" w14:paraId="18E31EE7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湿润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C7293" w:rsidP="0040170D" w14:paraId="5C253213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较干燥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7293" w:rsidP="0040170D" w14:paraId="19FED88C" w14:textId="7777777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F23">
              <w:rPr>
                <w:rFonts w:ascii="Times New Roman" w:hAnsi="Times New Roman" w:cs="Times New Roman"/>
              </w:rPr>
              <w:t>较干燥</w:t>
            </w:r>
          </w:p>
        </w:tc>
      </w:tr>
    </w:tbl>
    <w:p w:rsidR="003C7293" w:rsidP="003C7293" w14:paraId="3042FA2D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3C7293" w:rsidP="003C7293" w14:paraId="14846FF6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A.</w:t>
      </w:r>
      <w:r w:rsidRPr="00C43F23">
        <w:rPr>
          <w:rFonts w:ascii="Times New Roman" w:hAnsi="Times New Roman" w:cs="Times New Roman"/>
        </w:rPr>
        <w:t>该实验能探究不同土壤湿度条件下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土壤微生物对落叶的分解作用</w:t>
      </w:r>
    </w:p>
    <w:p w:rsidR="003C7293" w:rsidP="003C7293" w14:paraId="37C7DB27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为了控制实验中的无关变量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作为实验材料的落叶也应进行灭菌处理</w:t>
      </w:r>
    </w:p>
    <w:p w:rsidR="003C7293" w:rsidP="003C7293" w14:paraId="092F3625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若该实验的自变量为土壤是否进行灭菌处理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实验中的对照组是</w:t>
      </w:r>
      <w:r w:rsidRPr="00C43F23">
        <w:rPr>
          <w:rFonts w:ascii="Times New Roman" w:hAnsi="Times New Roman" w:cs="Times New Roman"/>
        </w:rPr>
        <w:t>1</w:t>
      </w:r>
      <w:r w:rsidRPr="00C43F23">
        <w:rPr>
          <w:rFonts w:ascii="Times New Roman" w:hAnsi="Times New Roman" w:cs="Times New Roman"/>
        </w:rPr>
        <w:t>组和</w:t>
      </w:r>
      <w:r w:rsidRPr="00C43F23">
        <w:rPr>
          <w:rFonts w:ascii="Times New Roman" w:hAnsi="Times New Roman" w:cs="Times New Roman"/>
        </w:rPr>
        <w:t>3</w:t>
      </w:r>
      <w:r w:rsidRPr="00C43F23">
        <w:rPr>
          <w:rFonts w:ascii="Times New Roman" w:hAnsi="Times New Roman" w:cs="Times New Roman"/>
        </w:rPr>
        <w:t>组</w:t>
      </w:r>
    </w:p>
    <w:p w:rsidR="003C7293" w:rsidP="003C7293" w14:paraId="733CEE26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43F2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43F23">
        <w:rPr>
          <w:rFonts w:ascii="Times New Roman" w:hAnsi="Times New Roman" w:cs="Times New Roman"/>
        </w:rPr>
        <w:t>预期结论是</w:t>
      </w:r>
      <w:r w:rsidRPr="00C43F2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3</w:t>
      </w:r>
      <w:r w:rsidRPr="00C43F23">
        <w:rPr>
          <w:rFonts w:ascii="Times New Roman" w:hAnsi="Times New Roman" w:cs="Times New Roman"/>
        </w:rPr>
        <w:t>组的落叶不被分解</w:t>
      </w:r>
      <w:r>
        <w:rPr>
          <w:rFonts w:ascii="Times New Roman" w:hAnsi="Times New Roman" w:cs="Times New Roman"/>
        </w:rPr>
        <w:t>，</w:t>
      </w:r>
      <w:r w:rsidRPr="00C43F2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</w:t>
      </w:r>
      <w:r w:rsidRPr="00C43F23">
        <w:rPr>
          <w:rFonts w:ascii="Times New Roman" w:hAnsi="Times New Roman" w:cs="Times New Roman"/>
        </w:rPr>
        <w:t>4</w:t>
      </w:r>
      <w:r w:rsidRPr="00C43F23">
        <w:rPr>
          <w:rFonts w:ascii="Times New Roman" w:hAnsi="Times New Roman" w:cs="Times New Roman"/>
        </w:rPr>
        <w:t>组中的落叶被不同程度地分解</w:t>
      </w:r>
    </w:p>
    <w:p w:rsidR="003C7293" w:rsidRPr="003C7293" w:rsidP="003C7293" w14:paraId="0389174D" w14:textId="7777777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 w:rsidRPr="003C7293">
        <w:rPr>
          <w:rFonts w:ascii="Times New Roman" w:eastAsia="黑体" w:hAnsi="Times New Roman" w:cs="Times New Roman"/>
          <w:color w:val="FF0000"/>
        </w:rPr>
        <w:t>答案　</w:t>
      </w:r>
      <w:r w:rsidRPr="003C7293">
        <w:rPr>
          <w:rFonts w:ascii="Times New Roman" w:hAnsi="Times New Roman" w:cs="Times New Roman"/>
          <w:color w:val="FF0000"/>
        </w:rPr>
        <w:t>C</w:t>
      </w:r>
    </w:p>
    <w:p w:rsidR="003C7293" w:rsidRPr="003C7293" w:rsidP="003C7293" w14:paraId="56CAFE51" w14:textId="1EB02E00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eastAsia"/>
          <w:color w:val="FF0000"/>
        </w:rPr>
      </w:pPr>
      <w:r w:rsidRPr="003C7293">
        <w:rPr>
          <w:rFonts w:ascii="Times New Roman" w:eastAsia="黑体" w:hAnsi="Times New Roman" w:cs="Times New Roman"/>
          <w:color w:val="FF0000"/>
        </w:rPr>
        <w:t>解析　</w:t>
      </w:r>
      <w:r w:rsidRPr="003C7293">
        <w:rPr>
          <w:rFonts w:ascii="Times New Roman" w:eastAsia="楷体_GB2312" w:hAnsi="Times New Roman" w:cs="Times New Roman"/>
          <w:color w:val="FF0000"/>
        </w:rPr>
        <w:t>若该实验的自变量为土壤是否进行灭菌处理，则</w:t>
      </w:r>
      <w:r w:rsidRPr="003C7293">
        <w:rPr>
          <w:rFonts w:ascii="Times New Roman" w:eastAsia="楷体_GB2312" w:hAnsi="Times New Roman" w:cs="Times New Roman"/>
          <w:color w:val="FF0000"/>
        </w:rPr>
        <w:t>1</w:t>
      </w:r>
      <w:r w:rsidRPr="003C7293">
        <w:rPr>
          <w:rFonts w:ascii="Times New Roman" w:eastAsia="楷体_GB2312" w:hAnsi="Times New Roman" w:cs="Times New Roman"/>
          <w:color w:val="FF0000"/>
        </w:rPr>
        <w:t>、</w:t>
      </w:r>
      <w:r w:rsidRPr="003C7293">
        <w:rPr>
          <w:rFonts w:ascii="Times New Roman" w:eastAsia="楷体_GB2312" w:hAnsi="Times New Roman" w:cs="Times New Roman"/>
          <w:color w:val="FF0000"/>
        </w:rPr>
        <w:t>2</w:t>
      </w:r>
      <w:r w:rsidRPr="003C7293">
        <w:rPr>
          <w:rFonts w:ascii="Times New Roman" w:eastAsia="楷体_GB2312" w:hAnsi="Times New Roman" w:cs="Times New Roman"/>
          <w:color w:val="FF0000"/>
        </w:rPr>
        <w:t>组对照可探究湿润土壤中微生物对落叶的分解作用，</w:t>
      </w:r>
      <w:r w:rsidRPr="003C7293">
        <w:rPr>
          <w:rFonts w:ascii="Times New Roman" w:eastAsia="楷体_GB2312" w:hAnsi="Times New Roman" w:cs="Times New Roman"/>
          <w:color w:val="FF0000"/>
        </w:rPr>
        <w:t>3</w:t>
      </w:r>
      <w:r w:rsidRPr="003C7293">
        <w:rPr>
          <w:rFonts w:ascii="Times New Roman" w:eastAsia="楷体_GB2312" w:hAnsi="Times New Roman" w:cs="Times New Roman"/>
          <w:color w:val="FF0000"/>
        </w:rPr>
        <w:t>、</w:t>
      </w:r>
      <w:r w:rsidRPr="003C7293">
        <w:rPr>
          <w:rFonts w:ascii="Times New Roman" w:eastAsia="楷体_GB2312" w:hAnsi="Times New Roman" w:cs="Times New Roman"/>
          <w:color w:val="FF0000"/>
        </w:rPr>
        <w:t>4</w:t>
      </w:r>
      <w:r w:rsidRPr="003C7293">
        <w:rPr>
          <w:rFonts w:ascii="Times New Roman" w:eastAsia="楷体_GB2312" w:hAnsi="Times New Roman" w:cs="Times New Roman"/>
          <w:color w:val="FF0000"/>
        </w:rPr>
        <w:t>组对照可探究较干燥土壤中微生物对落叶的分解作用，其中</w:t>
      </w:r>
      <w:r w:rsidRPr="003C7293">
        <w:rPr>
          <w:rFonts w:ascii="Times New Roman" w:eastAsia="楷体_GB2312" w:hAnsi="Times New Roman" w:cs="Times New Roman"/>
          <w:color w:val="FF0000"/>
        </w:rPr>
        <w:t>2</w:t>
      </w:r>
      <w:r w:rsidRPr="003C7293">
        <w:rPr>
          <w:rFonts w:ascii="Times New Roman" w:eastAsia="楷体_GB2312" w:hAnsi="Times New Roman" w:cs="Times New Roman"/>
          <w:color w:val="FF0000"/>
        </w:rPr>
        <w:t>组和</w:t>
      </w:r>
      <w:r w:rsidRPr="003C7293">
        <w:rPr>
          <w:rFonts w:ascii="Times New Roman" w:eastAsia="楷体_GB2312" w:hAnsi="Times New Roman" w:cs="Times New Roman"/>
          <w:color w:val="FF0000"/>
        </w:rPr>
        <w:t>4</w:t>
      </w:r>
      <w:r w:rsidRPr="003C7293">
        <w:rPr>
          <w:rFonts w:ascii="Times New Roman" w:eastAsia="楷体_GB2312" w:hAnsi="Times New Roman" w:cs="Times New Roman"/>
          <w:color w:val="FF0000"/>
        </w:rPr>
        <w:t>组均为未经处理的空白对照，属于对照组，</w:t>
      </w:r>
      <w:r w:rsidRPr="003C7293">
        <w:rPr>
          <w:rFonts w:ascii="Times New Roman" w:eastAsia="楷体_GB2312" w:hAnsi="Times New Roman" w:cs="Times New Roman"/>
          <w:color w:val="FF0000"/>
        </w:rPr>
        <w:t>1</w:t>
      </w:r>
      <w:r w:rsidRPr="003C7293">
        <w:rPr>
          <w:rFonts w:ascii="Times New Roman" w:eastAsia="楷体_GB2312" w:hAnsi="Times New Roman" w:cs="Times New Roman"/>
          <w:color w:val="FF0000"/>
        </w:rPr>
        <w:t>组和</w:t>
      </w:r>
      <w:r w:rsidRPr="003C7293">
        <w:rPr>
          <w:rFonts w:ascii="Times New Roman" w:eastAsia="楷体_GB2312" w:hAnsi="Times New Roman" w:cs="Times New Roman"/>
          <w:color w:val="FF0000"/>
        </w:rPr>
        <w:t>3</w:t>
      </w:r>
      <w:r w:rsidRPr="003C7293">
        <w:rPr>
          <w:rFonts w:ascii="Times New Roman" w:eastAsia="楷体_GB2312" w:hAnsi="Times New Roman" w:cs="Times New Roman"/>
          <w:color w:val="FF0000"/>
        </w:rPr>
        <w:t>组为实验组，</w:t>
      </w:r>
      <w:r w:rsidRPr="003C7293">
        <w:rPr>
          <w:rFonts w:ascii="Times New Roman" w:eastAsia="楷体_GB2312" w:hAnsi="Times New Roman" w:cs="Times New Roman"/>
          <w:color w:val="FF0000"/>
        </w:rPr>
        <w:t>C</w:t>
      </w:r>
      <w:r w:rsidRPr="003C7293">
        <w:rPr>
          <w:rFonts w:ascii="Times New Roman" w:eastAsia="楷体_GB2312" w:hAnsi="Times New Roman" w:cs="Times New Roman"/>
          <w:color w:val="FF0000"/>
        </w:rPr>
        <w:t>错误；</w:t>
      </w:r>
      <w:r w:rsidRPr="003C7293">
        <w:rPr>
          <w:rFonts w:ascii="Times New Roman" w:eastAsia="楷体_GB2312" w:hAnsi="Times New Roman" w:cs="Times New Roman"/>
          <w:color w:val="FF0000"/>
        </w:rPr>
        <w:t>1</w:t>
      </w:r>
      <w:r w:rsidRPr="003C7293">
        <w:rPr>
          <w:rFonts w:ascii="Times New Roman" w:eastAsia="楷体_GB2312" w:hAnsi="Times New Roman" w:cs="Times New Roman"/>
          <w:color w:val="FF0000"/>
        </w:rPr>
        <w:t>、</w:t>
      </w:r>
      <w:r w:rsidRPr="003C7293">
        <w:rPr>
          <w:rFonts w:ascii="Times New Roman" w:eastAsia="楷体_GB2312" w:hAnsi="Times New Roman" w:cs="Times New Roman"/>
          <w:color w:val="FF0000"/>
        </w:rPr>
        <w:t>3</w:t>
      </w:r>
      <w:r w:rsidRPr="003C7293">
        <w:rPr>
          <w:rFonts w:ascii="Times New Roman" w:eastAsia="楷体_GB2312" w:hAnsi="Times New Roman" w:cs="Times New Roman"/>
          <w:color w:val="FF0000"/>
        </w:rPr>
        <w:t>组的土壤经灭菌后，其中的微生物会被杀死，而土壤中的微生物主要充当分解者，因此预测这两组的落叶不被分解，而</w:t>
      </w:r>
      <w:r w:rsidRPr="003C7293">
        <w:rPr>
          <w:rFonts w:ascii="Times New Roman" w:eastAsia="楷体_GB2312" w:hAnsi="Times New Roman" w:cs="Times New Roman"/>
          <w:color w:val="FF0000"/>
        </w:rPr>
        <w:t>2</w:t>
      </w:r>
      <w:r w:rsidRPr="003C7293">
        <w:rPr>
          <w:rFonts w:ascii="Times New Roman" w:eastAsia="楷体_GB2312" w:hAnsi="Times New Roman" w:cs="Times New Roman"/>
          <w:color w:val="FF0000"/>
        </w:rPr>
        <w:t>、</w:t>
      </w:r>
      <w:r w:rsidRPr="003C7293">
        <w:rPr>
          <w:rFonts w:ascii="Times New Roman" w:eastAsia="楷体_GB2312" w:hAnsi="Times New Roman" w:cs="Times New Roman"/>
          <w:color w:val="FF0000"/>
        </w:rPr>
        <w:t>4</w:t>
      </w:r>
      <w:r w:rsidRPr="003C7293">
        <w:rPr>
          <w:rFonts w:ascii="Times New Roman" w:eastAsia="楷体_GB2312" w:hAnsi="Times New Roman" w:cs="Times New Roman"/>
          <w:color w:val="FF0000"/>
        </w:rPr>
        <w:t>组的土壤中含有微生物，但是土壤湿度不同，所以落叶被分解的程度不同，</w:t>
      </w:r>
      <w:r w:rsidRPr="003C7293">
        <w:rPr>
          <w:rFonts w:ascii="Times New Roman" w:eastAsia="楷体_GB2312" w:hAnsi="Times New Roman" w:cs="Times New Roman"/>
          <w:color w:val="FF0000"/>
        </w:rPr>
        <w:t>D</w:t>
      </w:r>
      <w:r w:rsidRPr="003C7293">
        <w:rPr>
          <w:rFonts w:ascii="Times New Roman" w:eastAsia="楷体_GB2312" w:hAnsi="Times New Roman" w:cs="Times New Roman"/>
          <w:color w:val="FF0000"/>
        </w:rPr>
        <w:t>正确。</w:t>
      </w:r>
    </w:p>
    <w:p w:rsidR="003C00AC" w14:paraId="183E83E1" w14:textId="77777777">
      <w:r>
        <w:rPr>
          <w:noProof/>
        </w:rPr>
        <w:drawing>
          <wp:inline distT="0" distB="0" distL="114300" distR="114300">
            <wp:extent cx="1181100" cy="247650"/>
            <wp:effectExtent l="0" t="0" r="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0AC" w:rsidP="003C7293" w14:paraId="4EB36637" w14:textId="75737DE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524522" cy="2371725"/>
            <wp:effectExtent l="0" t="0" r="9525" b="0"/>
            <wp:docPr id="16322514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514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938" cy="2372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br w:type="page"/>
      </w:r>
      <w:r>
        <w:rPr>
          <w:rFonts w:hint="eastAsia"/>
        </w:rPr>
        <w:drawing>
          <wp:inline>
            <wp:extent cx="5918835" cy="7083509"/>
            <wp:docPr id="100023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708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4"/>
      <w:footerReference w:type="default" r:id="rId1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0AC" w14:paraId="6809C19A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00AC" w14:textId="777777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3C00AC" w14:paraId="41556E51" w14:textId="777777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0AC" w14:paraId="0B4E341E" w14:textId="275E220F">
    <w:pPr>
      <w:pStyle w:val="Header"/>
      <w:jc w:val="center"/>
      <w:rPr>
        <w:sz w:val="21"/>
        <w:szCs w:val="32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-495300</wp:posOffset>
          </wp:positionV>
          <wp:extent cx="7561580" cy="865505"/>
          <wp:effectExtent l="0" t="0" r="1270" b="0"/>
          <wp:wrapNone/>
          <wp:docPr id="1620374584" name="图片 1620374584" descr="页眉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74584" name="图片 20" descr="页眉标识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BB13FB"/>
    <w:rsid w:val="00091322"/>
    <w:rsid w:val="001F22FD"/>
    <w:rsid w:val="001F3B18"/>
    <w:rsid w:val="00201278"/>
    <w:rsid w:val="0031418C"/>
    <w:rsid w:val="00317FDB"/>
    <w:rsid w:val="00333D32"/>
    <w:rsid w:val="00380DCD"/>
    <w:rsid w:val="003C00AC"/>
    <w:rsid w:val="003C7293"/>
    <w:rsid w:val="0040170D"/>
    <w:rsid w:val="004151FC"/>
    <w:rsid w:val="0058554F"/>
    <w:rsid w:val="007A44EA"/>
    <w:rsid w:val="00991D48"/>
    <w:rsid w:val="00BE7967"/>
    <w:rsid w:val="00C02FC6"/>
    <w:rsid w:val="00C43F23"/>
    <w:rsid w:val="00EB401A"/>
    <w:rsid w:val="00EC56B9"/>
    <w:rsid w:val="00FC3921"/>
    <w:rsid w:val="09580DAD"/>
    <w:rsid w:val="11E24FD1"/>
    <w:rsid w:val="1B0F78CA"/>
    <w:rsid w:val="23566E62"/>
    <w:rsid w:val="23B554D1"/>
    <w:rsid w:val="25BB13FB"/>
    <w:rsid w:val="2AFD3F94"/>
    <w:rsid w:val="47986BC5"/>
    <w:rsid w:val="5BDF7B7B"/>
    <w:rsid w:val="66A84ADC"/>
    <w:rsid w:val="7A7949C8"/>
    <w:rsid w:val="7CAD7E20"/>
  </w:rsids>
  <w:docVars>
    <w:docVar w:name="commondata" w:val="eyJoZGlkIjoiMDljOTYyNGVjZjQxYmVhMzlmNzQ2NTFjYWNhMjc3Ym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083862"/>
  <w15:docId w15:val="{C259ABB8-3157-46E7-9A88-0B8BBCD6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6">
    <w:name w:val="heading 6"/>
    <w:link w:val="6"/>
    <w:uiPriority w:val="9"/>
    <w:semiHidden/>
    <w:unhideWhenUsed/>
    <w:qFormat/>
    <w:rsid w:val="00BE7967"/>
    <w:pPr>
      <w:outlineLvl w:val="5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uiPriority w:val="99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标题 6 字符"/>
    <w:basedOn w:val="DefaultParagraphFont"/>
    <w:link w:val="Heading6"/>
    <w:uiPriority w:val="9"/>
    <w:semiHidden/>
    <w:rsid w:val="00BE7967"/>
    <w:rPr>
      <w:rFonts w:ascii="Times New Roman" w:hAnsi="Times New Roman" w:cs="Times New Roman"/>
      <w:b/>
      <w:bCs/>
      <w:sz w:val="28"/>
      <w:szCs w:val="28"/>
    </w:rPr>
  </w:style>
  <w:style w:type="character" w:customStyle="1" w:styleId="a">
    <w:name w:val="纯文本 字符"/>
    <w:link w:val="PlainText"/>
    <w:uiPriority w:val="99"/>
    <w:rsid w:val="00991D48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11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 liu</cp:lastModifiedBy>
  <cp:revision>4</cp:revision>
  <dcterms:created xsi:type="dcterms:W3CDTF">2023-12-28T02:46:00Z</dcterms:created>
  <dcterms:modified xsi:type="dcterms:W3CDTF">2023-12-28T03:03:00Z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