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2月9日</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ascii="仿宋" w:hAnsi="仿宋" w:eastAsia="仿宋" w:cs="仿宋"/>
                <w:b/>
                <w:bCs/>
                <w:sz w:val="21"/>
                <w:szCs w:val="21"/>
                <w:lang w:val="en-US" w:eastAsia="zh-CN"/>
              </w:rPr>
              <w:t>高20 24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ascii="仿宋" w:hAnsi="仿宋" w:eastAsia="仿宋" w:cs="仿宋"/>
                <w:b/>
                <w:bCs/>
                <w:sz w:val="21"/>
                <w:szCs w:val="21"/>
                <w:lang w:val="en-US" w:eastAsia="zh-CN"/>
              </w:rPr>
              <w:t>生物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ascii="仿宋" w:hAnsi="仿宋" w:eastAsia="仿宋" w:cs="仿宋"/>
                <w:b/>
                <w:bCs/>
                <w:sz w:val="22"/>
                <w:szCs w:val="22"/>
                <w:lang w:val="en-US" w:eastAsia="zh-CN"/>
              </w:rPr>
              <w:t>伴性遗传</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ascii="仿宋" w:hAnsi="仿宋" w:eastAsia="仿宋" w:cs="仿宋"/>
                <w:b/>
                <w:bCs/>
                <w:sz w:val="21"/>
                <w:szCs w:val="21"/>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仿宋" w:hAnsi="仿宋" w:eastAsia="仿宋" w:cs="仿宋"/>
                <w:b/>
                <w:bCs/>
                <w:sz w:val="21"/>
                <w:szCs w:val="21"/>
                <w:lang w:val="en-US" w:eastAsia="zh-CN"/>
              </w:rPr>
              <w:t>梁偲偲</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ascii="仿宋" w:hAnsi="仿宋" w:eastAsia="仿宋" w:cs="仿宋"/>
                <w:b/>
                <w:bCs/>
                <w:sz w:val="21"/>
                <w:szCs w:val="21"/>
                <w:lang w:val="en-US" w:eastAsia="zh-CN"/>
              </w:rPr>
              <w:t>第1课时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ascii="仿宋" w:hAnsi="仿宋" w:eastAsia="仿宋" w:cs="仿宋"/>
                <w:b/>
                <w:bCs/>
                <w:sz w:val="21"/>
                <w:szCs w:val="21"/>
              </w:rPr>
              <w:t>通过分析伴性遗传现象，认同生命的结构与功能观。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numPr>
                <w:numId w:val="0"/>
              </w:numPr>
              <w:spacing w:line="360" w:lineRule="auto"/>
              <w:jc w:val="both"/>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仿宋" w:hAnsi="仿宋" w:eastAsia="仿宋" w:cs="仿宋"/>
                <w:b/>
                <w:bCs/>
                <w:sz w:val="21"/>
                <w:szCs w:val="21"/>
              </w:rPr>
              <w:t>结合果蝇眼色的遗传规律，阐明伴性遗传的概念。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仿宋" w:hAnsi="仿宋" w:eastAsia="仿宋" w:cs="仿宋"/>
                <w:b/>
                <w:bCs/>
                <w:sz w:val="21"/>
                <w:szCs w:val="21"/>
              </w:rPr>
              <w:t>分析遗传图解，总结人类红绿色盲症和抗维生素D的遗传特点。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仿宋" w:hAnsi="仿宋" w:eastAsia="仿宋" w:cs="仿宋"/>
                <w:b/>
                <w:bCs/>
                <w:sz w:val="21"/>
                <w:szCs w:val="21"/>
              </w:rPr>
              <w:t>运用伴性遗传规律，解释常规遗传学技术在现实生产生活中的应用。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1.分析人类红绿色盲的主要婚配方式及其伴性遗传的特点</w:t>
            </w:r>
          </w:p>
          <w:p>
            <w:pPr>
              <w:widowControl/>
              <w:jc w:val="center"/>
              <w:rPr>
                <w:rFonts w:cs="宋体" w:asciiTheme="minorEastAsia" w:hAnsiTheme="minorEastAsia"/>
                <w:bCs/>
                <w:color w:val="000000"/>
                <w:kern w:val="0"/>
                <w:sz w:val="28"/>
                <w:szCs w:val="28"/>
              </w:rPr>
            </w:pPr>
            <w:r>
              <w:rPr>
                <w:rFonts w:hint="eastAsia" w:ascii="仿宋" w:hAnsi="仿宋" w:eastAsia="仿宋" w:cs="仿宋"/>
                <w:b/>
                <w:bCs/>
                <w:sz w:val="21"/>
                <w:szCs w:val="21"/>
                <w:lang w:val="en-US" w:eastAsia="zh-CN"/>
              </w:rPr>
              <w:t>2.遗传系谱图的识别和判断。</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1．独立写出人类红绿色盲症和抗维生素D佝偻病的遗传图解</w:t>
            </w:r>
          </w:p>
          <w:p>
            <w:pPr>
              <w:widowControl/>
              <w:jc w:val="center"/>
              <w:rPr>
                <w:rFonts w:cs="宋体" w:asciiTheme="minorEastAsia" w:hAnsiTheme="minorEastAsia"/>
                <w:color w:val="000000"/>
                <w:kern w:val="0"/>
                <w:sz w:val="22"/>
              </w:rPr>
            </w:pPr>
            <w:r>
              <w:rPr>
                <w:rFonts w:hint="eastAsia" w:ascii="仿宋" w:hAnsi="仿宋" w:eastAsia="仿宋" w:cs="仿宋"/>
                <w:b/>
                <w:bCs/>
                <w:sz w:val="22"/>
                <w:szCs w:val="22"/>
                <w:lang w:val="en-US" w:eastAsia="zh-CN"/>
              </w:rPr>
              <w:t>2．理解的基础上能推导和运用伴性遗传。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ascii="仿宋" w:hAnsi="仿宋" w:eastAsia="仿宋" w:cs="仿宋"/>
                <w:b/>
                <w:bCs/>
                <w:color w:val="000000"/>
                <w:sz w:val="22"/>
                <w:szCs w:val="22"/>
              </w:rPr>
              <w:t>概述性染色体上的基因传递和性别相关联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①利用果蝇的实例阐明伴性遗传概念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numPr>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②学会分析遗传图谱，并总结相关遗传病特点</w:t>
            </w:r>
            <w:r>
              <w:rPr>
                <w:rFonts w:hint="eastAsia" w:ascii="仿宋" w:hAnsi="仿宋" w:eastAsia="仿宋" w:cs="仿宋"/>
                <w:b/>
                <w:bCs/>
                <w:sz w:val="22"/>
                <w:szCs w:val="22"/>
              </w:rPr>
              <w:t>能够综合分析问题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③</w:t>
            </w:r>
            <w:r>
              <w:rPr>
                <w:rFonts w:hint="eastAsia" w:ascii="仿宋" w:hAnsi="仿宋" w:eastAsia="仿宋" w:cs="仿宋"/>
                <w:b/>
                <w:bCs/>
                <w:sz w:val="22"/>
                <w:szCs w:val="22"/>
              </w:rPr>
              <w:t>举例说出伴性遗传在实践中的应用。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导入</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用课件展示几张红绿色盲的检查图，检测同学们是否有红绿色盲？简单讲解红绿色盲遗传病。</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检测自己是否是红绿色盲，交流讨论看到的图形</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2、了解红绿色盲遗传病基础知识。</w:t>
            </w:r>
          </w:p>
        </w:tc>
        <w:tc>
          <w:tcPr>
            <w:tcW w:w="2330" w:type="dxa"/>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学生通过教师讲解能够了解红绿色盲是一种常见的人类单基因遗传病，并且男性患者多于女性患者。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新课讲授</w:t>
            </w:r>
          </w:p>
          <w:p>
            <w:pPr>
              <w:numPr>
                <w:ilvl w:val="0"/>
                <w:numId w:val="0"/>
              </w:numPr>
              <w:spacing w:line="360" w:lineRule="auto"/>
              <w:jc w:val="left"/>
              <w:textAlignment w:val="center"/>
              <w:rPr>
                <w:rFonts w:hint="eastAsia" w:ascii="仿宋" w:hAnsi="仿宋" w:eastAsia="仿宋" w:cs="仿宋"/>
                <w:b/>
                <w:bCs/>
                <w:sz w:val="21"/>
                <w:szCs w:val="21"/>
                <w:lang w:val="en-US" w:eastAsia="zh-CN"/>
              </w:rPr>
            </w:pP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通过学生对预学案的完成情况，帮助学生完成对伴性遗传概念及性染色体的知识的分析讲授。</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帮助学生完成伴性遗传不同种类基因型的书写及婚配种类。</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了解伴性遗传的概念及它是一种伴X隐性遗传病。</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学生根据表现型书写出伴性遗传的基因型。</w:t>
            </w:r>
          </w:p>
        </w:tc>
        <w:tc>
          <w:tcPr>
            <w:tcW w:w="2330" w:type="dxa"/>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学生通过对人类染色体组中性染色体的分析及基因控制生物的性状，了解伴性遗传的概念。</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通过对系谱图的分析能够了解伴性遗传是一种伴X隐性遗传病，能够根据表现型书写出伴性遗传的基因型。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小组合作</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教师引导学生通过遗传图解推测婚配后代的基因型和表现型，探求红绿色盲的遗传特点。</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教师出示抗维生素D佝偻病的家族系谱图，引导学生小组合作，通过分析系谱图，对比伴X隐性遗传病的特点，总结出伴X显性遗传病的特点</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学生书写出不同婚配的基因型及后代比例。</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总结出红绿色盲的遗传特点。</w:t>
            </w:r>
          </w:p>
          <w:p>
            <w:pPr>
              <w:numPr>
                <w:ilvl w:val="0"/>
                <w:numId w:val="0"/>
              </w:numPr>
              <w:spacing w:line="360" w:lineRule="auto"/>
              <w:jc w:val="left"/>
              <w:textAlignment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小组合作通过对伴X隐性遗传病的特点的了解，分析抗维生素D佝偻病的家族系谱图，总结出伴X显性遗传病的特点。</w:t>
            </w:r>
          </w:p>
          <w:p>
            <w:pPr>
              <w:numPr>
                <w:ilvl w:val="0"/>
                <w:numId w:val="0"/>
              </w:numPr>
              <w:spacing w:line="360" w:lineRule="auto"/>
              <w:jc w:val="left"/>
              <w:textAlignment w:val="center"/>
              <w:rPr>
                <w:rFonts w:hint="eastAsia" w:ascii="仿宋" w:hAnsi="仿宋" w:eastAsia="仿宋" w:cs="仿宋"/>
                <w:b/>
                <w:bCs/>
                <w:sz w:val="21"/>
                <w:szCs w:val="21"/>
                <w:lang w:val="en-US" w:eastAsia="zh-CN"/>
              </w:rPr>
            </w:pPr>
          </w:p>
        </w:tc>
        <w:tc>
          <w:tcPr>
            <w:tcW w:w="2330" w:type="dxa"/>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培养学生的科学思维以及小组总结和探究的能力。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巩固练习</w:t>
            </w:r>
          </w:p>
        </w:tc>
        <w:tc>
          <w:tcPr>
            <w:tcW w:w="2330" w:type="dxa"/>
            <w:gridSpan w:val="2"/>
            <w:shd w:val="clear" w:color="auto" w:fill="auto"/>
            <w:noWrap/>
            <w:vAlign w:val="center"/>
          </w:tcPr>
          <w:p>
            <w:pPr>
              <w:numPr>
                <w:ilvl w:val="0"/>
                <w:numId w:val="0"/>
              </w:numPr>
              <w:spacing w:line="360" w:lineRule="auto"/>
              <w:jc w:val="left"/>
              <w:textAlignment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带领学生当堂做练习题，通过习题展示伴性遗传在生产生活中的应用情况</w:t>
            </w:r>
          </w:p>
        </w:tc>
        <w:tc>
          <w:tcPr>
            <w:tcW w:w="2330" w:type="dxa"/>
            <w:gridSpan w:val="2"/>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学生完成几道练习题，并根据本节课所学知识进行总结，构建知识框架。</w:t>
            </w:r>
          </w:p>
        </w:tc>
        <w:tc>
          <w:tcPr>
            <w:tcW w:w="2330" w:type="dxa"/>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培养学生解决问题、应用知识的能力。</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通过当堂检测题了解学生当堂所学内容的掌握情况。</w:t>
            </w:r>
          </w:p>
          <w:p>
            <w:pPr>
              <w:numPr>
                <w:ilvl w:val="0"/>
                <w:numId w:val="0"/>
              </w:numPr>
              <w:spacing w:line="360" w:lineRule="auto"/>
              <w:jc w:val="left"/>
              <w:textAlignment w:val="center"/>
              <w:rPr>
                <w:rFonts w:hint="eastAsia" w:ascii="仿宋" w:hAnsi="仿宋" w:eastAsia="仿宋" w:cs="仿宋"/>
                <w:b/>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第二章 第3节 伴性遗传</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一、概念</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二、特点</w:t>
            </w:r>
          </w:p>
          <w:p>
            <w:pPr>
              <w:numPr>
                <w:ilvl w:val="0"/>
                <w:numId w:val="0"/>
              </w:numPr>
              <w:spacing w:line="360" w:lineRule="auto"/>
              <w:jc w:val="left"/>
              <w:textAlignment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1.红绿色盲</w:t>
            </w:r>
          </w:p>
          <w:p>
            <w:pPr>
              <w:numPr>
                <w:ilvl w:val="0"/>
                <w:numId w:val="0"/>
              </w:numPr>
              <w:spacing w:line="360" w:lineRule="auto"/>
              <w:jc w:val="left"/>
              <w:textAlignment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2.抗维生素D佝偻病</w:t>
            </w:r>
          </w:p>
          <w:p>
            <w:pPr>
              <w:numPr>
                <w:ilvl w:val="0"/>
                <w:numId w:val="0"/>
              </w:numPr>
              <w:spacing w:line="360" w:lineRule="auto"/>
              <w:jc w:val="left"/>
              <w:textAlignment w:val="center"/>
              <w:rPr>
                <w:rFonts w:cs="宋体" w:asciiTheme="minorEastAsia" w:hAnsiTheme="minorEastAsia"/>
                <w:bCs/>
                <w:color w:val="000000"/>
                <w:kern w:val="0"/>
                <w:sz w:val="28"/>
                <w:szCs w:val="28"/>
              </w:rPr>
            </w:pPr>
            <w:r>
              <w:rPr>
                <w:rFonts w:hint="eastAsia" w:ascii="仿宋" w:hAnsi="仿宋" w:eastAsia="仿宋" w:cs="仿宋"/>
                <w:b/>
                <w:bCs/>
                <w:sz w:val="21"/>
                <w:szCs w:val="21"/>
                <w:lang w:val="en-US" w:eastAsia="zh-CN"/>
              </w:rPr>
              <w:t>三、应用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bookmarkStart w:id="0" w:name="_GoBack"/>
            <w:bookmarkEnd w:id="0"/>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8B17CFB"/>
    <w:rsid w:val="33E0077E"/>
    <w:rsid w:val="34880850"/>
    <w:rsid w:val="421A65AC"/>
    <w:rsid w:val="45B6000B"/>
    <w:rsid w:val="5252566E"/>
    <w:rsid w:val="6D40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 w:type="paragraph" w:styleId="16">
    <w:name w:val="List Paragraph"/>
    <w:basedOn w:val="1"/>
    <w:qFormat/>
    <w:uiPriority w:val="99"/>
    <w:pPr>
      <w:ind w:firstLine="420" w:firstLineChars="200"/>
    </w:pPr>
    <w:rPr>
      <w:szCs w:val="24"/>
    </w:rPr>
  </w:style>
  <w:style w:type="table" w:customStyle="1" w:styleId="17">
    <w:name w:val="Table Normal_0"/>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0</TotalTime>
  <ScaleCrop>false</ScaleCrop>
  <LinksUpToDate>false</LinksUpToDate>
  <CharactersWithSpaces>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86159</cp:lastModifiedBy>
  <cp:lastPrinted>2023-10-12T02:38:00Z</cp:lastPrinted>
  <dcterms:modified xsi:type="dcterms:W3CDTF">2025-02-11T06:49:21Z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E606296319D64A918E7CF2EEC253A826_13</vt:lpwstr>
  </property>
</Properties>
</file>