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11137900</wp:posOffset>
            </wp:positionH>
            <wp:positionV relativeFrom="topMargin">
              <wp:posOffset>10515600</wp:posOffset>
            </wp:positionV>
            <wp:extent cx="342900" cy="2794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Ansi="宋体"/>
          <w:b/>
          <w:sz w:val="32"/>
          <w:szCs w:val="32"/>
        </w:rPr>
        <w:t>第二章　</w:t>
      </w:r>
      <w:r>
        <w:rPr>
          <w:rFonts w:hint="eastAsia" w:hAnsi="宋体"/>
          <w:b/>
          <w:sz w:val="32"/>
          <w:szCs w:val="32"/>
        </w:rPr>
        <w:t>组成细胞的分子</w:t>
      </w:r>
    </w:p>
    <w:p>
      <w:pPr>
        <w:spacing w:line="360" w:lineRule="auto"/>
        <w:jc w:val="center"/>
        <w:rPr>
          <w:rFonts w:ascii="宋体" w:hAnsi="宋体" w:eastAsia="宋体"/>
          <w:b/>
          <w:sz w:val="30"/>
          <w:szCs w:val="30"/>
        </w:rPr>
      </w:pPr>
      <w:r>
        <w:rPr>
          <w:rFonts w:ascii="宋体" w:hAnsi="宋体" w:eastAsia="宋体"/>
          <w:b/>
          <w:sz w:val="30"/>
          <w:szCs w:val="30"/>
        </w:rPr>
        <w:t>第1节　</w:t>
      </w:r>
      <w:r>
        <w:rPr>
          <w:rFonts w:hint="eastAsia" w:ascii="宋体" w:hAnsi="宋体" w:eastAsia="宋体"/>
          <w:b/>
          <w:sz w:val="30"/>
          <w:szCs w:val="30"/>
        </w:rPr>
        <w:t>细胞中的元素和化合物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152525" cy="314325"/>
            <wp:effectExtent l="0" t="0" r="0" b="9525"/>
            <wp:docPr id="8" name="图片 8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节内容在引言中就提出了关于生命的物质组成相关问题，学生都能区分生物与非生物，但是如何从理论层面阐述生物组成成分就变得更加重要。本节内容通过从元素，化合物的种类与含量方面进行比较，让学生可以更加明确生物界与非生物界的统一性与差异性。后续再通过实验证明糖类，脂肪，蛋白质的存在，帮助学生理解有机物是生物体所必须的成分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教学策略</w:t>
      </w:r>
      <w:r>
        <w:rPr>
          <w:rFonts w:hint="eastAsia" w:ascii="宋体" w:hAnsi="宋体" w:eastAsia="宋体"/>
        </w:rPr>
        <w:t>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通过对比分析</w:t>
      </w:r>
      <w:r>
        <w:rPr>
          <w:rFonts w:hint="eastAsia" w:ascii="宋体" w:hAnsi="宋体" w:eastAsia="宋体"/>
        </w:rPr>
        <w:t>，培养</w:t>
      </w:r>
      <w:r>
        <w:rPr>
          <w:rFonts w:ascii="宋体" w:hAnsi="宋体" w:eastAsia="宋体"/>
        </w:rPr>
        <w:t>学生通过阅读获取信息的能力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对比自然界与非生物界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元素种类与含量的差异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理解各种元素及化合物对生物体的作用</w:t>
      </w:r>
      <w:r>
        <w:rPr>
          <w:rFonts w:hint="eastAsia" w:ascii="宋体" w:hAnsi="宋体" w:eastAsia="宋体"/>
        </w:rPr>
        <w:t>。</w:t>
      </w:r>
      <w:r>
        <w:rPr>
          <w:rFonts w:ascii="宋体" w:hAnsi="宋体" w:eastAsia="宋体"/>
        </w:rPr>
        <w:t>物质鉴定实验让学生自己动手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并通过实验选择最理想的材料</w:t>
      </w:r>
      <w:r>
        <w:rPr>
          <w:rFonts w:hint="eastAsia" w:ascii="宋体" w:hAnsi="宋体" w:eastAsia="宋体"/>
        </w:rPr>
        <w:t>，</w:t>
      </w:r>
      <w:r>
        <w:rPr>
          <w:rFonts w:ascii="宋体" w:hAnsi="宋体" w:eastAsia="宋体"/>
        </w:rPr>
        <w:t>培养学生的观察能力与解决问题的能力</w:t>
      </w:r>
      <w:r>
        <w:rPr>
          <w:rFonts w:hint="eastAsia" w:ascii="宋体" w:hAnsi="宋体" w:eastAsia="宋体"/>
        </w:rPr>
        <w:t>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762125" cy="314325"/>
            <wp:effectExtent l="0" t="0" r="9525" b="9525"/>
            <wp:docPr id="7" name="图片 7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生命观念：组成生物体的元素都是从无机环境获取的，同一元素在生物界与无机环境含量差异巨大。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科学思维：科学的选择实验材料，保证实验材料不影响实验结果的观察与检测。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科学探究</w:t>
      </w:r>
      <w:r>
        <w:rPr>
          <w:rFonts w:hint="eastAsia" w:ascii="宋体" w:hAnsi="宋体" w:eastAsia="宋体"/>
        </w:rPr>
        <w:t>：探究碳为什么会成为生物体的最基本元素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社会责任</w:t>
      </w:r>
      <w:r>
        <w:rPr>
          <w:rFonts w:hint="eastAsia" w:ascii="宋体" w:hAnsi="宋体" w:eastAsia="宋体"/>
        </w:rPr>
        <w:t>：认同生命的物质性，培养学生保护环境的观念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133475" cy="314325"/>
            <wp:effectExtent l="0" t="0" r="9525" b="9525"/>
            <wp:docPr id="6" name="图片 6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教学重点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1.</w:t>
      </w:r>
      <w:r>
        <w:rPr>
          <w:rFonts w:hint="eastAsia" w:ascii="宋体" w:hAnsi="宋体" w:eastAsia="宋体"/>
        </w:rPr>
        <w:t>组成细胞的主要元素和化合物。</w:t>
      </w:r>
    </w:p>
    <w:p>
      <w:pPr>
        <w:spacing w:line="360" w:lineRule="auto"/>
        <w:ind w:firstLine="1470" w:firstLineChars="700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检测生物组织中的糖类、蛋白质、脂肪。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教学难点：1.构成细胞的基本元素是碳。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检测生物组织中的糖类、蛋白质、脂肪。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1085850" cy="314325"/>
            <wp:effectExtent l="0" t="0" r="0" b="9525"/>
            <wp:docPr id="4" name="图片 4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 版权所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情景导入、展示目标。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教师：地球上的环境千变万化，比如地壳表面的水、岩石以及空气，那么这些物质由哪些元素组成呢？生物是生活在环境中，生物从环境中获取物质，那么这些生物又由哪些元素组成？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合作探究、精讲点拨。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探究一：地壳与细胞元素含量的差异</w:t>
      </w:r>
    </w:p>
    <w:tbl>
      <w:tblPr>
        <w:tblStyle w:val="7"/>
        <w:tblW w:w="0" w:type="auto"/>
        <w:tblInd w:w="-252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</w:tblPrEx>
        <w:trPr>
          <w:trHeight w:val="288" w:hRule="atLeast"/>
        </w:trPr>
        <w:tc>
          <w:tcPr>
            <w:tcW w:w="9540" w:type="dxa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组成地壳和组成细胞的部分元素含量</w:t>
            </w:r>
          </w:p>
          <w:tbl>
            <w:tblPr>
              <w:tblStyle w:val="7"/>
              <w:tblW w:w="0" w:type="auto"/>
              <w:tblInd w:w="24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15"/>
              <w:gridCol w:w="3015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元  素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地壳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细胞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O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48.60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65.0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Si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26.30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极少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C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0.087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18.0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6" w:hRule="atLeast"/>
              </w:trPr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N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0.03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3.0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2" w:hRule="atLeast"/>
              </w:trPr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H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0.76</w:t>
                  </w:r>
                </w:p>
              </w:tc>
              <w:tc>
                <w:tcPr>
                  <w:tcW w:w="3015" w:type="dxa"/>
                  <w:vAlign w:val="center"/>
                </w:tcPr>
                <w:p>
                  <w:pPr>
                    <w:spacing w:line="360" w:lineRule="auto"/>
                    <w:ind w:firstLine="420" w:firstLineChars="200"/>
                    <w:rPr>
                      <w:rFonts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10.0</w:t>
                  </w:r>
                </w:p>
              </w:tc>
            </w:tr>
          </w:tbl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问题：1、组成细胞的化学元素，在无机自然界中都能找到，说明什么？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2.细胞中的各元素含量和无机环境中的含量大不相同，这说明什么？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结论：组成细胞的化学元素在自然界的无机环境中都能找到，没有一种元素是生命特有的。但是元素在细胞中和无机环境中的含量却有区别，说明生命和非生命的无机环境既有统一性又有差异性。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设计意图：通过引导学生观察，分析表格中的问题，归纳总结，形成结论。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探究二：组成细胞的元素？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作为生命的基本组成单位——细胞，它可以构成不同的生物体。那么元素在各种细胞中的含量是怎样的？（对比玉米与人体细胞元素种类与含量的差异）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玉米和人体化学元素含量对比表：</w:t>
      </w:r>
    </w:p>
    <w:tbl>
      <w:tblPr>
        <w:tblStyle w:val="7"/>
        <w:tblW w:w="0" w:type="auto"/>
        <w:tblInd w:w="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59"/>
        <w:gridCol w:w="2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玉米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氧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44.43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14.62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碳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43.57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55.99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氮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1.46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氢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6.24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钾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0.92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钙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0.24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磷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0.20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硫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0.17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37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铁</w:t>
            </w:r>
          </w:p>
        </w:tc>
        <w:tc>
          <w:tcPr>
            <w:tcW w:w="2259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0.08</w:t>
            </w:r>
          </w:p>
        </w:tc>
        <w:tc>
          <w:tcPr>
            <w:tcW w:w="2284" w:type="dxa"/>
            <w:shd w:val="clear" w:color="auto" w:fill="auto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0.012</w:t>
            </w:r>
          </w:p>
        </w:tc>
      </w:tr>
    </w:tbl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比较玉米细胞与人体细胞的元素及含量，谈论下列问题并进行展示：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1、玉米细胞与人体细胞含量最多元素种类是否相同，为什么会出现这种现象？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2、一些含量较少的元素是否并不重要？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3、比较玉米与人体细胞元素种类与含量还可以得出哪些结论？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结论：组成生物体的化学元素主要有20多种。组成玉米和人体的含量较多的元素是：C、H、O、N等四种。不同生物体的组成元素大体相同；不同生物体内，各种化学元素的含量相差很大。 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归纳得出：组成细胞的基本元素：C；主要元素：C、H、O、N、P、S；大量元素：C、H、O、N、P、S、K、Ca、Mg；微量元素：Fe、Mn、B、Zn、Cu、Mo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补充说明</w:t>
      </w:r>
      <w:r>
        <w:rPr>
          <w:rFonts w:hint="eastAsia" w:ascii="宋体" w:hAnsi="宋体" w:eastAsia="宋体"/>
        </w:rPr>
        <w:t>：</w:t>
      </w:r>
      <w:r>
        <w:rPr>
          <w:rFonts w:ascii="宋体" w:hAnsi="宋体" w:eastAsia="宋体"/>
        </w:rPr>
        <w:t>各种元素本身对生命活动的影响</w:t>
      </w:r>
      <w:r>
        <w:rPr>
          <w:rFonts w:hint="eastAsia" w:ascii="宋体" w:hAnsi="宋体" w:eastAsia="宋体"/>
        </w:rPr>
        <w:t>，以及干重与鲜重下元素含量的差异与原因。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设计意图：通过分析比较，使学生明确大量元素和微量元素的概念，并正确理解碳是最基本元素。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探究三：组成细胞的化合物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讨论：作为生命的细胞是由元素组成的，组成生物体的化学元素在生物体内是以什么形式存在的？比如花生和大豆的应用中有很大的不同，花生可用来榨油，大豆常用来做豆腐说明了什么问题？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引导学生分析组成生物体的化学元素在体内以什么形式存在（单质还是化合态），参考课本P17提供的表来分析，总结归纳出构成细胞的化合物。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219075</wp:posOffset>
                </wp:positionH>
                <wp:positionV relativeFrom="paragraph">
                  <wp:posOffset>91440</wp:posOffset>
                </wp:positionV>
                <wp:extent cx="1371600" cy="495300"/>
                <wp:effectExtent l="0" t="0" r="0" b="0"/>
                <wp:wrapNone/>
                <wp:docPr id="23" name="文本框 23" descr="学科网 版权所有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无机化合物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学科网 版权所有" type="#_x0000_t202" style="position:absolute;left:0pt;margin-left:17.25pt;margin-top:7.2pt;height:39pt;width:108pt;mso-position-horizontal-relative:margin;z-index:251661312;mso-width-relative:page;mso-height-relative:page;" filled="f" stroked="f" coordsize="21600,21600" o:gfxdata="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kiT0nVAAAACAEAAA8AAAAAAAAAAQAgAAAAIgAAAGRycy9kb3ducmV2Lnht&#10;bFBLAQIUABQAAAAIAIdO4kDc01pi/AEAAJoDAAAOAAAAAAAAAAEAIAAAACQBAABkcnMvZTJvRG9j&#10;LnhtbFBLBQYAAAAABgAGAFkBAACS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无机化合物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28575</wp:posOffset>
                </wp:positionV>
                <wp:extent cx="114300" cy="396240"/>
                <wp:effectExtent l="0" t="0" r="19050" b="22860"/>
                <wp:wrapNone/>
                <wp:docPr id="24" name="左大括号 24" descr="学科网 版权所有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300" cy="396240"/>
                        </a:xfrm>
                        <a:prstGeom prst="leftBrace">
                          <a:avLst>
                            <a:gd name="adj1" fmla="val 2888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alt="学科网 版权所有" type="#_x0000_t87" style="position:absolute;left:0pt;margin-left:89.25pt;margin-top:2.25pt;height:31.2pt;width:9pt;z-index:251659264;mso-width-relative:page;mso-height-relative:page;" filled="f" stroked="t" coordsize="21600,21600" o:gfxdata="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L9HPtkAAAAIAQAADwAAAAAAAAABACAAAAAiAAAAZHJzL2Rvd25yZXYueG1sUEsBAhQAFAAAAAgA&#10;h07iQMSSUGEkAgAA6QMAAA4AAAAAAAAAAQAgAAAAKAEAAGRycy9lMm9Eb2MueG1sUEsFBgAAAAAG&#10;AAYAWQEAAL4FAAAAAA==&#10;" adj="1800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</w:rPr>
        <w:t xml:space="preserve">                </w:t>
      </w:r>
      <w:r>
        <w:rPr>
          <w:rFonts w:asciiTheme="minorEastAsia" w:hAnsiTheme="minorEastAsia"/>
        </w:rPr>
        <w:tab/>
      </w:r>
      <w:r>
        <w:rPr>
          <w:rFonts w:hint="eastAsia" w:asciiTheme="minorEastAsia" w:hAnsiTheme="minorEastAsia"/>
        </w:rPr>
        <w:t>水：85%～90%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 xml:space="preserve">               </w:t>
      </w:r>
      <w:r>
        <w:rPr>
          <w:rFonts w:asciiTheme="minorEastAsia" w:hAnsiTheme="minorEastAsia"/>
        </w:rPr>
        <w:t xml:space="preserve">  </w:t>
      </w:r>
      <w:r>
        <w:rPr>
          <w:rFonts w:hint="eastAsia" w:asciiTheme="minorEastAsia" w:hAnsiTheme="minorEastAsia"/>
        </w:rPr>
        <w:t xml:space="preserve">  无机盐：1%～1.5%</w:t>
      </w: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</w:p>
    <w:p>
      <w:pPr>
        <w:spacing w:line="360" w:lineRule="auto"/>
        <w:ind w:firstLine="420" w:firstLineChars="200"/>
        <w:rPr>
          <w:rFonts w:asciiTheme="minorEastAsia" w:hAnsiTheme="minorEastAsia"/>
        </w:rPr>
      </w:pPr>
    </w:p>
    <w:p>
      <w:pPr>
        <w:spacing w:line="360" w:lineRule="auto"/>
        <w:ind w:firstLine="2730" w:firstLineChars="1300"/>
        <w:rPr>
          <w:rFonts w:asciiTheme="minorEastAsia" w:hAnsiTheme="minorEastAsia"/>
        </w:rPr>
      </w:pP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20955</wp:posOffset>
                </wp:positionV>
                <wp:extent cx="161925" cy="542925"/>
                <wp:effectExtent l="0" t="0" r="28575" b="28575"/>
                <wp:wrapNone/>
                <wp:docPr id="22" name="左大括号 22" descr="学科网 版权所有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1925" cy="542925"/>
                        </a:xfrm>
                        <a:prstGeom prst="leftBrace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alt="学科网 版权所有" type="#_x0000_t87" style="position:absolute;left:0pt;margin-left:96.3pt;margin-top:1.65pt;height:42.75pt;width:12.75pt;z-index:251666432;mso-width-relative:page;mso-height-relative:page;" filled="f" stroked="t" coordsize="21600,21600" o:gfxdata="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UQKnrYAAAA&#10;CAEAAA8AAAAAAAAAAQAgAAAAIgAAAGRycy9kb3ducmV2LnhtbFBLAQIUABQAAAAIAIdO4kAL40O8&#10;HQIAAOkDAAAOAAAAAAAAAAEAIAAAACcBAABkcnMvZTJvRG9jLnhtbFBLBQYAAAAABgAGAFkBAAC2&#10;BQAAAAA=&#10;" adj="3221,10800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152400</wp:posOffset>
                </wp:positionV>
                <wp:extent cx="1362075" cy="495300"/>
                <wp:effectExtent l="0" t="0" r="0" b="0"/>
                <wp:wrapNone/>
                <wp:docPr id="21" name="文本框 21" descr="学科网 版权所有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有机化合物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alt="学科网 版权所有" type="#_x0000_t202" style="position:absolute;left:0pt;margin-left:17.25pt;margin-top:12pt;height:39pt;width:107.25pt;z-index:251663360;mso-width-relative:page;mso-height-relative:page;" filled="f" stroked="f" coordsize="21600,21600" o:gfxdata="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tSFJjWAAAACQEAAA8AAAAAAAAAAQAgAAAAIgAAAGRycy9kb3ducmV2&#10;LnhtbFBLAQIUABQAAAAIAIdO4kBU02td/gEAAJoDAAAOAAAAAAAAAAEAIAAAACU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有机化合物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/>
        </w:rPr>
        <w:t xml:space="preserve">蛋白质：7%～10% </w:t>
      </w:r>
      <w:r>
        <w:rPr>
          <w:rFonts w:asciiTheme="minorEastAsia" w:hAnsiTheme="minorEastAsia"/>
        </w:rPr>
        <w:t xml:space="preserve">       </w:t>
      </w:r>
    </w:p>
    <w:p>
      <w:pPr>
        <w:spacing w:line="360" w:lineRule="auto"/>
        <w:ind w:firstLine="2730" w:firstLineChars="130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核酸和糖类：1%～1.5%</w:t>
      </w:r>
    </w:p>
    <w:p>
      <w:pPr>
        <w:spacing w:line="360" w:lineRule="auto"/>
        <w:ind w:firstLine="2730" w:firstLineChars="13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脂类：1%～2%</w:t>
      </w:r>
    </w:p>
    <w:p>
      <w:pPr>
        <w:spacing w:line="360" w:lineRule="auto"/>
        <w:ind w:firstLine="2730" w:firstLineChars="1300"/>
        <w:rPr>
          <w:rFonts w:ascii="宋体" w:hAnsi="宋体" w:eastAsia="宋体"/>
        </w:rPr>
      </w:pP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设计意图：通过教师的引导，学生自主完成本部分内容，锻炼学生的自学能力。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探究四：检测生物组织中的糖类、脂肪和蛋白质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可溶性还原糖、脂肪、蛋白质的鉴定的实验原理、方法、步骤和现象：</w:t>
      </w:r>
    </w:p>
    <w:tbl>
      <w:tblPr>
        <w:tblStyle w:val="7"/>
        <w:tblW w:w="0" w:type="auto"/>
        <w:tblInd w:w="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709"/>
        <w:gridCol w:w="77"/>
        <w:gridCol w:w="490"/>
        <w:gridCol w:w="1985"/>
        <w:gridCol w:w="42"/>
        <w:gridCol w:w="1747"/>
        <w:gridCol w:w="479"/>
        <w:gridCol w:w="23"/>
        <w:gridCol w:w="1628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</w:trPr>
        <w:tc>
          <w:tcPr>
            <w:tcW w:w="1597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知识点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可溶性还原糖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脂  肪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蛋白质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" w:type="dxa"/>
          <w:cantSplit/>
        </w:trPr>
        <w:tc>
          <w:tcPr>
            <w:tcW w:w="1597" w:type="dxa"/>
            <w:gridSpan w:val="3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实验原理</w:t>
            </w:r>
          </w:p>
        </w:tc>
        <w:tc>
          <w:tcPr>
            <w:tcW w:w="2517" w:type="dxa"/>
            <w:gridSpan w:val="3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与斐林试剂反应生成砖红色沉淀</w:t>
            </w:r>
          </w:p>
        </w:tc>
        <w:tc>
          <w:tcPr>
            <w:tcW w:w="2249" w:type="dxa"/>
            <w:gridSpan w:val="3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被苏丹Ⅲ染液染成橘黄色（或被苏丹Ⅳ染成红色）</w:t>
            </w:r>
          </w:p>
        </w:tc>
        <w:tc>
          <w:tcPr>
            <w:tcW w:w="1628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与双缩脲试剂反应产生紫色物质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811" w:type="dxa"/>
            <w:vMerge w:val="restart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实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验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步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骤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样液</w:t>
            </w:r>
          </w:p>
          <w:p>
            <w:pPr>
              <w:spacing w:line="360" w:lineRule="auto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制备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选材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含糖较高、颜色为白色或近于白色的植物组织，苹果、梨最好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富含脂肪的种子，以花生最好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浸泡1～2 d的黄豆种子（或用豆浆）或用鸡蛋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蛋白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方法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苹果切块→研磨→过滤→滤液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制作花生种子的切片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黄豆浸泡切片→研磨→过滤→ 滤液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811" w:type="dxa"/>
            <w:vMerge w:val="continue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鉴定</w:t>
            </w:r>
          </w:p>
          <w:p>
            <w:pPr>
              <w:spacing w:line="360" w:lineRule="auto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步骤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样液→加斐林试剂→振荡→水浴加热煮沸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切片→染色→漂洗→镜检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组织样液→加双缩脲试剂A→再加双缩脲试剂B→观察颜色变化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0" w:type="dxa"/>
            <w:gridSpan w:val="2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实验现象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蓝色→棕色→砖红色沉淀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脂肪被苏丹Ⅲ染液染成橘黄色（或被苏丹Ⅳ染成红色）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加双缩脲试剂A无明显变化，加双缩脲试剂B后溶液变成紫色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20" w:type="dxa"/>
            <w:gridSpan w:val="2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注意事项</w:t>
            </w:r>
          </w:p>
        </w:tc>
        <w:tc>
          <w:tcPr>
            <w:tcW w:w="2594" w:type="dxa"/>
            <w:gridSpan w:val="4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1.选材要用含糖较高、颜色为白色或近于白色的植物组织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2.斐林试剂不稳定，一般配成甲液（NaOH：0.1 g/mL）乙液（CuSO4：0.05 g /mL）来保存，用时必须将甲、乙两液混合均匀后使用，切勿分别加入组织样液中进行检测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1.切片要尽可能的薄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2.染色后一定要用50%的酒精溶液洗去浮色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3.观察时找最薄处，最好只有1～2层细胞</w:t>
            </w:r>
          </w:p>
        </w:tc>
        <w:tc>
          <w:tcPr>
            <w:tcW w:w="2180" w:type="dxa"/>
            <w:gridSpan w:val="4"/>
            <w:vAlign w:val="center"/>
          </w:tcPr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1.用鸡蛋蛋白时，一定要加以稀释，如果稀释不够，与双缩脲试剂发生反应后会粘固在试管内壁上，使反应不彻底，且试管不易洗干净</w:t>
            </w:r>
          </w:p>
          <w:p>
            <w:pPr>
              <w:spacing w:line="360" w:lineRule="auto"/>
              <w:ind w:firstLine="400" w:firstLineChars="20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2.双缩脲使用时，应先加A造成碱环境，再加B</w:t>
            </w:r>
          </w:p>
        </w:tc>
      </w:tr>
    </w:tbl>
    <w:p>
      <w:pPr>
        <w:spacing w:line="360" w:lineRule="auto"/>
        <w:ind w:firstLine="400" w:firstLineChars="200"/>
        <w:rPr>
          <w:rFonts w:ascii="宋体" w:hAnsi="宋体" w:eastAsia="宋体"/>
          <w:sz w:val="20"/>
        </w:rPr>
      </w:pPr>
      <w:r>
        <w:rPr>
          <w:rFonts w:hint="eastAsia" w:ascii="宋体" w:hAnsi="宋体" w:eastAsia="宋体"/>
          <w:sz w:val="20"/>
        </w:rPr>
        <w:t>每组学生从教师提供的材料中选取两种进行鉴定，并记录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交流实验结果：每一组实验选取一个人介绍实验情况，然后分析实验成败的得失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设计意图:通过小组合作进行实验，锻炼学生的动手能力和合作意识。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随堂练：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1.关于松鼠和松树体内的化学元素的说法中，最可能不正确的是(A　)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A． 含量相同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B． 种类相同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C． 具有统一性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D． 具有差异性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2.</w:t>
      </w:r>
      <w:r>
        <w:rPr>
          <w:rFonts w:hint="eastAsia" w:ascii="宋体" w:hAnsi="宋体" w:eastAsia="宋体"/>
        </w:rPr>
        <w:t>以下关于实验的描述中，正确的是</w:t>
      </w:r>
      <w:r>
        <w:rPr>
          <w:rFonts w:ascii="宋体" w:hAnsi="宋体" w:eastAsia="宋体"/>
        </w:rPr>
        <w:t>(</w:t>
      </w:r>
      <w:r>
        <w:rPr>
          <w:rFonts w:hint="eastAsia" w:ascii="宋体" w:hAnsi="宋体" w:eastAsia="宋体"/>
        </w:rPr>
        <w:t>D　</w:t>
      </w:r>
      <w:r>
        <w:rPr>
          <w:rFonts w:ascii="宋体" w:hAnsi="宋体" w:eastAsia="宋体"/>
        </w:rPr>
        <w:t>)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A</w:t>
      </w:r>
      <w:r>
        <w:rPr>
          <w:rFonts w:hint="eastAsia" w:ascii="宋体" w:hAnsi="宋体" w:eastAsia="宋体"/>
        </w:rPr>
        <w:t>． 利用光学显微镜可观察到组成细胞膜的磷脂分子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B</w:t>
      </w:r>
      <w:r>
        <w:rPr>
          <w:rFonts w:hint="eastAsia" w:ascii="宋体" w:hAnsi="宋体" w:eastAsia="宋体"/>
        </w:rPr>
        <w:t>． 西瓜汁中含有丰富的葡萄糖和果糖，可用作还原糖鉴定的替代材料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C</w:t>
      </w:r>
      <w:r>
        <w:rPr>
          <w:rFonts w:hint="eastAsia" w:ascii="宋体" w:hAnsi="宋体" w:eastAsia="宋体"/>
        </w:rPr>
        <w:t>． 在做脂肪的鉴定实验时，发现满视野都呈现橙黄色，于是滴</w:t>
      </w: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～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滴质量分数为</w:t>
      </w:r>
      <w:r>
        <w:rPr>
          <w:rFonts w:ascii="宋体" w:hAnsi="宋体" w:eastAsia="宋体"/>
        </w:rPr>
        <w:t>20%</w:t>
      </w:r>
      <w:r>
        <w:rPr>
          <w:rFonts w:hint="eastAsia" w:ascii="宋体" w:hAnsi="宋体" w:eastAsia="宋体"/>
        </w:rPr>
        <w:t>的盐酸洗去多余的染料</w:t>
      </w:r>
    </w:p>
    <w:p>
      <w:pPr>
        <w:spacing w:line="360" w:lineRule="auto"/>
        <w:ind w:firstLine="420" w:firstLineChars="200"/>
        <w:rPr>
          <w:rFonts w:ascii="宋体" w:hAnsi="宋体" w:eastAsia="宋体"/>
        </w:rPr>
      </w:pPr>
      <w:r>
        <w:rPr>
          <w:rFonts w:ascii="宋体" w:hAnsi="宋体" w:eastAsia="宋体"/>
        </w:rPr>
        <w:t>D</w:t>
      </w:r>
      <w:r>
        <w:rPr>
          <w:rFonts w:hint="eastAsia" w:ascii="宋体" w:hAnsi="宋体" w:eastAsia="宋体"/>
        </w:rPr>
        <w:t>． 在稀释的蛋清液中加入双缩脲试剂，振荡摇匀，可看到溶液变为紫色</w:t>
      </w:r>
    </w:p>
    <w:p>
      <w:pPr>
        <w:tabs>
          <w:tab w:val="left" w:pos="1755"/>
        </w:tabs>
        <w:spacing w:line="360" w:lineRule="auto"/>
        <w:rPr>
          <w:rFonts w:ascii="宋体" w:hAnsi="宋体" w:eastAsia="宋体"/>
        </w:rPr>
      </w:pPr>
    </w:p>
    <w:sectPr>
      <w:headerReference r:id="rId3" w:type="default"/>
      <w:footerReference r:id="rId4" w:type="default"/>
      <w:pgSz w:w="11907" w:h="16839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  <w:r>
      <w:rPr>
        <w:rFonts w:hint="eastAsia"/>
        <w:lang w:eastAsia="zh-CN"/>
      </w:rPr>
      <w:t>格物致知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"/>
  <w:removePersonalInformation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127329"/>
    <w:rsid w:val="00153E88"/>
    <w:rsid w:val="00270BC8"/>
    <w:rsid w:val="00392035"/>
    <w:rsid w:val="003E04D1"/>
    <w:rsid w:val="004D6587"/>
    <w:rsid w:val="005663EF"/>
    <w:rsid w:val="008C241C"/>
    <w:rsid w:val="009246EA"/>
    <w:rsid w:val="009A4F1C"/>
    <w:rsid w:val="00A44C58"/>
    <w:rsid w:val="00A93FBD"/>
    <w:rsid w:val="00B52E04"/>
    <w:rsid w:val="00BC7AC5"/>
    <w:rsid w:val="00BF263F"/>
    <w:rsid w:val="00CC2F79"/>
    <w:rsid w:val="00D72C25"/>
    <w:rsid w:val="00D90362"/>
    <w:rsid w:val="00DA5853"/>
    <w:rsid w:val="00DC0C85"/>
    <w:rsid w:val="00DD0045"/>
    <w:rsid w:val="0D08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纯文本 字符"/>
    <w:basedOn w:val="8"/>
    <w:semiHidden/>
    <w:qFormat/>
    <w:uiPriority w:val="99"/>
    <w:rPr>
      <w:rFonts w:hAnsi="Courier New" w:cs="Courier New" w:asciiTheme="minorEastAsia"/>
    </w:rPr>
  </w:style>
  <w:style w:type="character" w:customStyle="1" w:styleId="13">
    <w:name w:val="纯文本 字符1"/>
    <w:link w:val="2"/>
    <w:locked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2413</Characters>
  <Lines>20</Lines>
  <Paragraphs>5</Paragraphs>
  <TotalTime>0</TotalTime>
  <ScaleCrop>false</ScaleCrop>
  <LinksUpToDate>false</LinksUpToDate>
  <CharactersWithSpaces>2831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2019-09-17T08:52:00Z</dcterms:created>
  <dcterms:modified xsi:type="dcterms:W3CDTF">2020-09-11T16:40:04Z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