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10274300</wp:posOffset>
            </wp:positionV>
            <wp:extent cx="355600" cy="2540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第五章　细胞的能量供应和利用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第1节　降低化学反应活化能的酶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本节主要内容是对酶的特点进行研究，从高效性、专一性、作用条件温和等方面分别分析。用实验的结果说明具体的结论。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生命观念：明确</w:t>
      </w:r>
      <w:r>
        <w:rPr>
          <w:rFonts w:ascii="Times New Roman" w:hAnsi="Times New Roman" w:eastAsia="宋体" w:cs="Times New Roman"/>
          <w:szCs w:val="21"/>
        </w:rPr>
        <w:t>细胞代谢、活化能、自变量、因变量、无关变量等概念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</w:t>
      </w:r>
      <w:r>
        <w:rPr>
          <w:rFonts w:ascii="Times New Roman" w:hAnsi="Times New Roman" w:eastAsia="宋体" w:cs="Times New Roman"/>
          <w:szCs w:val="21"/>
        </w:rPr>
        <w:t>通过图表比较、动画演示、动手游戏，以及教材上形象，直观的图解和文学说明，让学生明确催化剂可降低化学反应的活化能。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</w:t>
      </w:r>
      <w:r>
        <w:rPr>
          <w:rFonts w:ascii="Times New Roman" w:hAnsi="Times New Roman" w:eastAsia="宋体" w:cs="Times New Roman"/>
          <w:szCs w:val="21"/>
        </w:rPr>
        <w:t>通过合作探究“比较过氧化氢酶在不同条件下的分解”实验，学会如何控制自变量，观察和分析因变量以及设置对照组和实验组。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</w:t>
      </w:r>
      <w:r>
        <w:rPr>
          <w:rFonts w:ascii="Times New Roman" w:hAnsi="Times New Roman" w:eastAsia="宋体" w:cs="Times New Roman"/>
          <w:szCs w:val="21"/>
        </w:rPr>
        <w:t>1、通过小组间的讨论、合作与交流，培养学生的合作互助精神。 2、通过图表、动画、游戏等形式，并感受学习的快乐和分享的喜悦。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教学重点：酶降低化学反应活化能的原理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教学难点：控制变量的科学方法；酶降低化学反应活化能的原理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对比上节内容过氧化氢分解实验，说明酶相对于无机催化剂具有高效性。作为催化剂，酶只改变反应速率，并不影响反应最终结果。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在通过探究淀粉酶、蔗糖酶对淀粉和蔗糖的水解作用，用小组活动的方式完成表格，证明酶的专一性，一种酶只催化一种或一类反应。并通过图解表明酶专一性的原理。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4832350" cy="2355850"/>
            <wp:effectExtent l="0" t="0" r="635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t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酶的作用条件温和：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409950" cy="19812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t="14444" r="44063" b="2777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温度对酶活性的影响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324225" cy="2228850"/>
            <wp:effectExtent l="0" t="0" r="952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t="13611" r="45469" b="21389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Ph对酶活性的影响。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高温，强酸，强碱使酶失活，低温抑制酶活性，升温后可恢复，最适温度与最适Ph下酶催化能力最强。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938780" cy="1458595"/>
            <wp:effectExtent l="0" t="0" r="13970" b="8255"/>
            <wp:docPr id="19459" name="Picture 3" descr="W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3" descr="W1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399155" cy="1543050"/>
            <wp:effectExtent l="0" t="0" r="10795" b="0"/>
            <wp:docPr id="20483" name="Picture 3" descr="W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W1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酶促反应在现实中的应用：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1、人在发烧时，食欲下降，是因为温度过高导致消化酶的活性降低。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2、治疗糖尿病的药物：胰岛素制剂只能注射不能口服，是应为胰岛素的化学本质是蛋白质，易被消化道内的蛋白酶水解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随堂检测：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细胞内合成酶的主要的场所是（        ）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A.细胞质       B. 线粒体         C.核糖体              D. 内质网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2、能水解脂肪酶的酶是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A、淀粉酶     B、蛋白酶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C、脂肪酶              D、麦芽糖酶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5AB02"/>
    <w:multiLevelType w:val="singleLevel"/>
    <w:tmpl w:val="E7F5AB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D2115"/>
    <w:rsid w:val="00270BC8"/>
    <w:rsid w:val="005179C4"/>
    <w:rsid w:val="006D152A"/>
    <w:rsid w:val="008C241C"/>
    <w:rsid w:val="009246EA"/>
    <w:rsid w:val="00A93FBD"/>
    <w:rsid w:val="00AD7B0D"/>
    <w:rsid w:val="00B52E04"/>
    <w:rsid w:val="00BF263F"/>
    <w:rsid w:val="00CC2F79"/>
    <w:rsid w:val="00CF31D2"/>
    <w:rsid w:val="00D90362"/>
    <w:rsid w:val="00DC0C85"/>
    <w:rsid w:val="0FD12E9F"/>
    <w:rsid w:val="3E0C4048"/>
    <w:rsid w:val="49383D20"/>
    <w:rsid w:val="61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703</Characters>
  <Lines>5</Lines>
  <Paragraphs>1</Paragraphs>
  <TotalTime>4</TotalTime>
  <ScaleCrop>false</ScaleCrop>
  <LinksUpToDate>false</LinksUpToDate>
  <CharactersWithSpaces>825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