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jc w:val="center"/>
        <w:rPr>
          <w:rFonts w:asciiTheme="minorEastAsia" w:hAnsiTheme="minorEastAsia"/>
          <w:szCs w:val="21"/>
        </w:rPr>
      </w:pPr>
      <w:r>
        <w:rPr>
          <w:rFonts w:hint="eastAsia" w:asciiTheme="minorEastAsia" w:hAnsiTheme="minorEastAsia"/>
          <w:szCs w:val="21"/>
        </w:rPr>
        <w:t>第3节   植物生长调节剂的应用</w:t>
      </w:r>
    </w:p>
    <w:p>
      <w:pPr>
        <w:spacing w:line="360" w:lineRule="auto"/>
        <w:outlineLvl w:val="0"/>
        <w:rPr>
          <w:rFonts w:hint="eastAsia" w:asciiTheme="minorEastAsia" w:hAnsiTheme="minorEastAsia"/>
          <w:szCs w:val="21"/>
        </w:rPr>
      </w:pPr>
      <w:r>
        <w:rPr>
          <w:rFonts w:hint="eastAsia" w:asciiTheme="minorEastAsia" w:hAnsiTheme="minorEastAsia"/>
          <w:szCs w:val="21"/>
        </w:rPr>
        <w:t>一、单选题</w:t>
      </w:r>
    </w:p>
    <w:p>
      <w:pPr>
        <w:pStyle w:val="2"/>
        <w:tabs>
          <w:tab w:val="left" w:pos="3402"/>
        </w:tabs>
        <w:snapToGrid w:val="0"/>
        <w:spacing w:line="360" w:lineRule="auto"/>
        <w:rPr>
          <w:rFonts w:cs="Times New Roman" w:asciiTheme="minorEastAsia" w:hAnsiTheme="minorEastAsia"/>
        </w:rPr>
      </w:pPr>
      <w:r>
        <w:rPr>
          <w:rFonts w:hint="eastAsia" w:cs="Times New Roman" w:asciiTheme="minorEastAsia" w:hAnsiTheme="minorEastAsia"/>
        </w:rPr>
        <w:t>1</w:t>
      </w:r>
      <w:r>
        <w:rPr>
          <w:rFonts w:cs="Times New Roman" w:asciiTheme="minorEastAsia" w:hAnsiTheme="minorEastAsia"/>
        </w:rPr>
        <w:t>．人工合成的植物生长调节剂在生产上的应用越来越广泛。下列关于植物激素及植物生长调节剂的叙述正确的是(　　)</w:t>
      </w:r>
    </w:p>
    <w:p>
      <w:pPr>
        <w:pStyle w:val="2"/>
        <w:tabs>
          <w:tab w:val="left" w:pos="3402"/>
        </w:tabs>
        <w:snapToGrid w:val="0"/>
        <w:spacing w:line="360" w:lineRule="auto"/>
        <w:rPr>
          <w:rFonts w:cs="Times New Roman" w:asciiTheme="minorEastAsia" w:hAnsiTheme="minorEastAsia"/>
        </w:rPr>
      </w:pPr>
      <w:r>
        <w:rPr>
          <w:rFonts w:cs="Times New Roman" w:asciiTheme="minorEastAsia" w:hAnsiTheme="minorEastAsia"/>
        </w:rPr>
        <w:t>A．植物生长调节剂可以通过人工合成获得，也可从植物体内提取获得</w:t>
      </w:r>
    </w:p>
    <w:p>
      <w:pPr>
        <w:pStyle w:val="2"/>
        <w:tabs>
          <w:tab w:val="left" w:pos="3402"/>
        </w:tabs>
        <w:snapToGrid w:val="0"/>
        <w:spacing w:line="360" w:lineRule="auto"/>
        <w:rPr>
          <w:rFonts w:cs="Times New Roman" w:asciiTheme="minorEastAsia" w:hAnsiTheme="minorEastAsia"/>
        </w:rPr>
      </w:pPr>
      <w:r>
        <w:rPr>
          <w:rFonts w:cs="Times New Roman" w:asciiTheme="minorEastAsia" w:hAnsiTheme="minorEastAsia"/>
        </w:rPr>
        <w:t>B．植物的生长发育需要激素进行调节</w:t>
      </w:r>
    </w:p>
    <w:p>
      <w:pPr>
        <w:pStyle w:val="2"/>
        <w:tabs>
          <w:tab w:val="left" w:pos="3402"/>
        </w:tabs>
        <w:snapToGrid w:val="0"/>
        <w:spacing w:line="360" w:lineRule="auto"/>
        <w:rPr>
          <w:rFonts w:cs="Times New Roman" w:asciiTheme="minorEastAsia" w:hAnsiTheme="minorEastAsia"/>
        </w:rPr>
      </w:pPr>
      <w:r>
        <w:rPr>
          <w:rFonts w:cs="Times New Roman" w:asciiTheme="minorEastAsia" w:hAnsiTheme="minorEastAsia"/>
        </w:rPr>
        <w:t>C．植物生长调节剂容易合成，效果稳定，无副作用，应大力推广</w:t>
      </w:r>
    </w:p>
    <w:p>
      <w:pPr>
        <w:pStyle w:val="2"/>
        <w:tabs>
          <w:tab w:val="left" w:pos="3402"/>
        </w:tabs>
        <w:snapToGrid w:val="0"/>
        <w:spacing w:line="360" w:lineRule="auto"/>
        <w:rPr>
          <w:rFonts w:cs="Times New Roman" w:asciiTheme="minorEastAsia" w:hAnsiTheme="minorEastAsia"/>
        </w:rPr>
      </w:pPr>
      <w:r>
        <w:rPr>
          <w:rFonts w:cs="Times New Roman" w:asciiTheme="minorEastAsia" w:hAnsiTheme="minorEastAsia"/>
        </w:rPr>
        <w:t>D．用赤霉素处理大麦，通过促进大麦种子发芽，进而产生更多的α­淀粉酶</w:t>
      </w:r>
    </w:p>
    <w:p>
      <w:pPr>
        <w:spacing w:line="360" w:lineRule="auto"/>
        <w:rPr>
          <w:rFonts w:cs="宋体" w:asciiTheme="minorEastAsia" w:hAnsiTheme="minorEastAsia"/>
          <w:szCs w:val="21"/>
        </w:rPr>
      </w:pPr>
      <w:r>
        <w:rPr>
          <w:rFonts w:hint="eastAsia" w:cs="宋体" w:asciiTheme="minorEastAsia" w:hAnsiTheme="minorEastAsia"/>
          <w:szCs w:val="21"/>
        </w:rPr>
        <w:t>2.下列有关“探究生长素类调节剂促进插条生根的最适浓度”实验的叙述，错误的是(     )</w:t>
      </w:r>
    </w:p>
    <w:p>
      <w:pPr>
        <w:spacing w:line="360" w:lineRule="auto"/>
        <w:rPr>
          <w:rFonts w:cs="宋体" w:asciiTheme="minorEastAsia" w:hAnsiTheme="minorEastAsia"/>
          <w:szCs w:val="21"/>
        </w:rPr>
      </w:pPr>
      <w:r>
        <w:rPr>
          <w:rFonts w:hint="eastAsia" w:cs="宋体" w:asciiTheme="minorEastAsia" w:hAnsiTheme="minorEastAsia"/>
          <w:szCs w:val="21"/>
        </w:rPr>
        <w:t>A.在实验过程中，可能会出现不同浓度的生长素类调节剂具有相同的促进生根的效果</w:t>
      </w:r>
    </w:p>
    <w:p>
      <w:pPr>
        <w:spacing w:line="360" w:lineRule="auto"/>
        <w:rPr>
          <w:rFonts w:cs="宋体" w:asciiTheme="minorEastAsia" w:hAnsiTheme="minorEastAsia"/>
          <w:szCs w:val="21"/>
        </w:rPr>
      </w:pPr>
      <w:r>
        <w:rPr>
          <w:rFonts w:hint="eastAsia" w:cs="宋体" w:asciiTheme="minorEastAsia" w:hAnsiTheme="minorEastAsia"/>
          <w:szCs w:val="21"/>
        </w:rPr>
        <w:t>B.在预实验的基础上再次实验时可不设置空白对照</w:t>
      </w:r>
    </w:p>
    <w:p>
      <w:pPr>
        <w:spacing w:line="360" w:lineRule="auto"/>
        <w:rPr>
          <w:rFonts w:cs="宋体" w:asciiTheme="minorEastAsia" w:hAnsiTheme="minorEastAsia"/>
          <w:szCs w:val="21"/>
        </w:rPr>
      </w:pPr>
      <w:r>
        <w:rPr>
          <w:rFonts w:hint="eastAsia" w:cs="宋体" w:asciiTheme="minorEastAsia" w:hAnsiTheme="minorEastAsia"/>
          <w:szCs w:val="21"/>
        </w:rPr>
        <w:t>C.浸泡法处理就是将插条浸泡在配制好的生长素类调节剂溶液中让其生根</w:t>
      </w:r>
    </w:p>
    <w:p>
      <w:pPr>
        <w:spacing w:line="360" w:lineRule="auto"/>
        <w:rPr>
          <w:rFonts w:cs="宋体" w:asciiTheme="minorEastAsia" w:hAnsiTheme="minorEastAsia"/>
          <w:szCs w:val="21"/>
        </w:rPr>
      </w:pPr>
      <w:r>
        <w:rPr>
          <w:rFonts w:hint="eastAsia" w:cs="宋体" w:asciiTheme="minorEastAsia" w:hAnsiTheme="minorEastAsia"/>
          <w:szCs w:val="21"/>
        </w:rPr>
        <w:t>D.该实验需控制的无关变量有药液处理的时间、植物的种类、温度等</w:t>
      </w:r>
    </w:p>
    <w:p>
      <w:pPr>
        <w:spacing w:line="360" w:lineRule="auto"/>
        <w:rPr>
          <w:rFonts w:cs="宋体" w:asciiTheme="minorEastAsia" w:hAnsiTheme="minorEastAsia"/>
          <w:szCs w:val="21"/>
        </w:rPr>
      </w:pPr>
      <w:r>
        <w:rPr>
          <w:rFonts w:hint="eastAsia" w:cs="宋体" w:asciiTheme="minorEastAsia" w:hAnsiTheme="minorEastAsia"/>
          <w:szCs w:val="21"/>
        </w:rPr>
        <w:t>3.某小组开展“探究生长素类调节剂促进插条生根的最适浓度”的实验研究，关于这个实验的叙述不正确的是(     )</w:t>
      </w:r>
    </w:p>
    <w:p>
      <w:pPr>
        <w:spacing w:line="360" w:lineRule="auto"/>
        <w:rPr>
          <w:rFonts w:cs="宋体" w:asciiTheme="minorEastAsia" w:hAnsiTheme="minorEastAsia"/>
          <w:szCs w:val="21"/>
        </w:rPr>
      </w:pPr>
      <w:r>
        <w:rPr>
          <w:rFonts w:hint="eastAsia" w:cs="宋体" w:asciiTheme="minorEastAsia" w:hAnsiTheme="minorEastAsia"/>
          <w:szCs w:val="21"/>
        </w:rPr>
        <w:t>A.经预实验后，后续实验中还需设置一组用蒸馏水处理插条的实验作对照组</w:t>
      </w:r>
    </w:p>
    <w:p>
      <w:pPr>
        <w:spacing w:line="360" w:lineRule="auto"/>
        <w:rPr>
          <w:rFonts w:cs="宋体" w:asciiTheme="minorEastAsia" w:hAnsiTheme="minorEastAsia"/>
          <w:szCs w:val="21"/>
        </w:rPr>
      </w:pPr>
      <w:r>
        <w:rPr>
          <w:rFonts w:hint="eastAsia" w:cs="宋体" w:asciiTheme="minorEastAsia" w:hAnsiTheme="minorEastAsia"/>
          <w:szCs w:val="21"/>
        </w:rPr>
        <w:t>B.为了保证实验结果的可靠性，每组需要取多枝插条</w:t>
      </w:r>
    </w:p>
    <w:p>
      <w:pPr>
        <w:spacing w:line="360" w:lineRule="auto"/>
        <w:rPr>
          <w:rFonts w:cs="宋体" w:asciiTheme="minorEastAsia" w:hAnsiTheme="minorEastAsia"/>
          <w:szCs w:val="21"/>
        </w:rPr>
      </w:pPr>
      <w:r>
        <w:rPr>
          <w:rFonts w:hint="eastAsia" w:cs="宋体" w:asciiTheme="minorEastAsia" w:hAnsiTheme="minorEastAsia"/>
          <w:szCs w:val="21"/>
        </w:rPr>
        <w:t>C.浸泡法适用于较低浓度溶液及空气湿度较大，遮阴环境</w:t>
      </w:r>
    </w:p>
    <w:p>
      <w:pPr>
        <w:spacing w:line="360" w:lineRule="auto"/>
        <w:rPr>
          <w:rFonts w:cs="宋体" w:asciiTheme="minorEastAsia" w:hAnsiTheme="minorEastAsia"/>
          <w:szCs w:val="21"/>
        </w:rPr>
      </w:pPr>
      <w:r>
        <w:rPr>
          <w:rFonts w:hint="eastAsia" w:cs="宋体" w:asciiTheme="minorEastAsia" w:hAnsiTheme="minorEastAsia"/>
          <w:szCs w:val="21"/>
        </w:rPr>
        <w:t>D.用不同浓度的生长素类调节剂处理扦插枝条，生根数量可能相同</w:t>
      </w:r>
    </w:p>
    <w:p>
      <w:pPr>
        <w:spacing w:line="360" w:lineRule="auto"/>
        <w:rPr>
          <w:rFonts w:cs="宋体" w:asciiTheme="minorEastAsia" w:hAnsiTheme="minorEastAsia"/>
          <w:szCs w:val="21"/>
        </w:rPr>
      </w:pPr>
      <w:r>
        <w:rPr>
          <w:rFonts w:hint="eastAsia" w:cs="宋体" w:asciiTheme="minorEastAsia" w:hAnsiTheme="minorEastAsia"/>
          <w:szCs w:val="21"/>
        </w:rPr>
        <w:t>4.生长素及生长素类调节剂能够调节植物的生长发育。下列相关叙述错误的是(     )</w:t>
      </w:r>
    </w:p>
    <w:p>
      <w:pPr>
        <w:spacing w:line="360" w:lineRule="auto"/>
        <w:rPr>
          <w:rFonts w:cs="宋体" w:asciiTheme="minorEastAsia" w:hAnsiTheme="minorEastAsia"/>
          <w:szCs w:val="21"/>
        </w:rPr>
      </w:pPr>
      <w:r>
        <w:rPr>
          <w:rFonts w:hint="eastAsia" w:cs="宋体" w:asciiTheme="minorEastAsia" w:hAnsiTheme="minorEastAsia"/>
          <w:szCs w:val="21"/>
        </w:rPr>
        <w:t>A.棉花栽培过程中去除顶芽可促进侧芽生长，提高棉花产量</w:t>
      </w:r>
    </w:p>
    <w:p>
      <w:pPr>
        <w:spacing w:line="360" w:lineRule="auto"/>
        <w:rPr>
          <w:rFonts w:cs="宋体" w:asciiTheme="minorEastAsia" w:hAnsiTheme="minorEastAsia"/>
          <w:szCs w:val="21"/>
        </w:rPr>
      </w:pPr>
      <w:r>
        <w:rPr>
          <w:rFonts w:hint="eastAsia" w:cs="宋体" w:asciiTheme="minorEastAsia" w:hAnsiTheme="minorEastAsia"/>
          <w:szCs w:val="21"/>
        </w:rPr>
        <w:t>B.给果树喷施适量的NAA有利于保果，提高果实产量</w:t>
      </w:r>
    </w:p>
    <w:p>
      <w:pPr>
        <w:spacing w:line="360" w:lineRule="auto"/>
        <w:rPr>
          <w:rFonts w:cs="宋体" w:asciiTheme="minorEastAsia" w:hAnsiTheme="minorEastAsia"/>
          <w:szCs w:val="21"/>
        </w:rPr>
      </w:pPr>
      <w:r>
        <w:rPr>
          <w:rFonts w:hint="eastAsia" w:cs="宋体" w:asciiTheme="minorEastAsia" w:hAnsiTheme="minorEastAsia"/>
          <w:szCs w:val="21"/>
        </w:rPr>
        <w:t>C.用适宜浓度的IAA处理未受粉番茄雌蕊，可得到大量正常的番茄种子</w:t>
      </w:r>
    </w:p>
    <w:p>
      <w:pPr>
        <w:spacing w:line="360" w:lineRule="auto"/>
        <w:rPr>
          <w:rFonts w:cs="宋体" w:asciiTheme="minorEastAsia" w:hAnsiTheme="minorEastAsia"/>
          <w:szCs w:val="21"/>
        </w:rPr>
      </w:pPr>
      <w:r>
        <w:rPr>
          <w:rFonts w:hint="eastAsia" w:cs="宋体" w:asciiTheme="minorEastAsia" w:hAnsiTheme="minorEastAsia"/>
          <w:szCs w:val="21"/>
        </w:rPr>
        <w:t>D.带有芽和幼叶的柳条扦插时容易生根，是因为芽和幼叶均能产生IAA</w:t>
      </w:r>
    </w:p>
    <w:p>
      <w:pPr>
        <w:pStyle w:val="2"/>
        <w:tabs>
          <w:tab w:val="left" w:pos="3402"/>
        </w:tabs>
        <w:snapToGrid w:val="0"/>
        <w:spacing w:line="360" w:lineRule="auto"/>
        <w:rPr>
          <w:rFonts w:cs="Times New Roman" w:asciiTheme="minorEastAsia" w:hAnsiTheme="minorEastAsia"/>
        </w:rPr>
      </w:pPr>
      <w:r>
        <w:rPr>
          <w:rFonts w:hint="eastAsia" w:cs="Times New Roman" w:asciiTheme="minorEastAsia" w:hAnsiTheme="minorEastAsia"/>
        </w:rPr>
        <w:t>5</w:t>
      </w:r>
      <w:r>
        <w:rPr>
          <w:rFonts w:cs="Times New Roman" w:asciiTheme="minorEastAsia" w:hAnsiTheme="minorEastAsia"/>
        </w:rPr>
        <w:t>．下列有关植物激素及植物生长调节剂的应用的说法，不正确的是(　　)</w:t>
      </w:r>
    </w:p>
    <w:p>
      <w:pPr>
        <w:pStyle w:val="2"/>
        <w:tabs>
          <w:tab w:val="left" w:pos="3402"/>
        </w:tabs>
        <w:snapToGrid w:val="0"/>
        <w:spacing w:line="360" w:lineRule="auto"/>
        <w:rPr>
          <w:rFonts w:cs="Times New Roman" w:asciiTheme="minorEastAsia" w:hAnsiTheme="minorEastAsia"/>
        </w:rPr>
      </w:pPr>
      <w:r>
        <w:rPr>
          <w:rFonts w:cs="Times New Roman" w:asciiTheme="minorEastAsia" w:hAnsiTheme="minorEastAsia"/>
        </w:rPr>
        <w:t>A．利用细胞分裂素能够对收获的农产品储藏保鲜</w:t>
      </w:r>
    </w:p>
    <w:p>
      <w:pPr>
        <w:pStyle w:val="2"/>
        <w:tabs>
          <w:tab w:val="left" w:pos="3402"/>
        </w:tabs>
        <w:snapToGrid w:val="0"/>
        <w:spacing w:line="360" w:lineRule="auto"/>
        <w:rPr>
          <w:rFonts w:cs="Times New Roman" w:asciiTheme="minorEastAsia" w:hAnsiTheme="minorEastAsia"/>
        </w:rPr>
      </w:pPr>
      <w:r>
        <w:rPr>
          <w:rFonts w:cs="Times New Roman" w:asciiTheme="minorEastAsia" w:hAnsiTheme="minorEastAsia"/>
        </w:rPr>
        <w:t>B．对西瓜、草莓等使用一定浓度的膨大素，会使水果长势加快、个头变大，口感好，且宜长时间储存</w:t>
      </w:r>
    </w:p>
    <w:p>
      <w:pPr>
        <w:pStyle w:val="2"/>
        <w:tabs>
          <w:tab w:val="left" w:pos="3402"/>
        </w:tabs>
        <w:snapToGrid w:val="0"/>
        <w:spacing w:line="360" w:lineRule="auto"/>
        <w:rPr>
          <w:rFonts w:cs="Times New Roman" w:asciiTheme="minorEastAsia" w:hAnsiTheme="minorEastAsia"/>
        </w:rPr>
      </w:pPr>
      <w:r>
        <w:rPr>
          <w:rFonts w:cs="Times New Roman" w:asciiTheme="minorEastAsia" w:hAnsiTheme="minorEastAsia"/>
        </w:rPr>
        <w:t>C．在蔬菜和水果上残留的植物生长调节剂可能会损害人体健康</w:t>
      </w:r>
    </w:p>
    <w:p>
      <w:pPr>
        <w:pStyle w:val="2"/>
        <w:tabs>
          <w:tab w:val="left" w:pos="3402"/>
        </w:tabs>
        <w:snapToGrid w:val="0"/>
        <w:spacing w:line="360" w:lineRule="auto"/>
        <w:rPr>
          <w:rFonts w:cs="Times New Roman" w:asciiTheme="minorEastAsia" w:hAnsiTheme="minorEastAsia"/>
        </w:rPr>
      </w:pPr>
      <w:r>
        <w:rPr>
          <w:rFonts w:cs="Times New Roman" w:asciiTheme="minorEastAsia" w:hAnsiTheme="minorEastAsia"/>
        </w:rPr>
        <w:t>D．利用赤霉素处理大麦，可在大麦种子不发芽的情况下产生α­淀粉酶</w:t>
      </w:r>
    </w:p>
    <w:p>
      <w:pPr>
        <w:spacing w:line="360" w:lineRule="auto"/>
        <w:rPr>
          <w:rFonts w:cs="宋体" w:asciiTheme="minorEastAsia" w:hAnsiTheme="minorEastAsia"/>
          <w:szCs w:val="21"/>
        </w:rPr>
      </w:pPr>
      <w:r>
        <w:rPr>
          <w:rFonts w:hint="eastAsia" w:cs="宋体" w:asciiTheme="minorEastAsia" w:hAnsiTheme="minorEastAsia"/>
          <w:szCs w:val="21"/>
        </w:rPr>
        <w:t>6.下列有关NAA和GA(赤霉素)的叙述错误的是(     )</w:t>
      </w:r>
    </w:p>
    <w:p>
      <w:pPr>
        <w:spacing w:line="360" w:lineRule="auto"/>
        <w:rPr>
          <w:rFonts w:cs="宋体" w:asciiTheme="minorEastAsia" w:hAnsiTheme="minorEastAsia"/>
          <w:szCs w:val="21"/>
        </w:rPr>
      </w:pPr>
      <w:r>
        <w:rPr>
          <w:rFonts w:hint="eastAsia" w:cs="宋体" w:asciiTheme="minorEastAsia" w:hAnsiTheme="minorEastAsia"/>
          <w:szCs w:val="21"/>
        </w:rPr>
        <w:t>A.要探究NAA和GA对植物生长的调节作用一般设计3个组别：加NAA组，加GA组，加NAA和GA组</w:t>
      </w:r>
    </w:p>
    <w:p>
      <w:pPr>
        <w:spacing w:line="360" w:lineRule="auto"/>
        <w:rPr>
          <w:rFonts w:cs="宋体" w:asciiTheme="minorEastAsia" w:hAnsiTheme="minorEastAsia"/>
          <w:szCs w:val="21"/>
        </w:rPr>
      </w:pPr>
      <w:r>
        <w:rPr>
          <w:rFonts w:hint="eastAsia" w:cs="宋体" w:asciiTheme="minorEastAsia" w:hAnsiTheme="minorEastAsia"/>
          <w:szCs w:val="21"/>
        </w:rPr>
        <w:t>B.NAA和GA均能促进植物伸长生长、促进果实发育</w:t>
      </w:r>
    </w:p>
    <w:p>
      <w:pPr>
        <w:spacing w:line="360" w:lineRule="auto"/>
        <w:rPr>
          <w:rFonts w:cs="宋体" w:asciiTheme="minorEastAsia" w:hAnsiTheme="minorEastAsia"/>
          <w:szCs w:val="21"/>
        </w:rPr>
      </w:pPr>
      <w:r>
        <w:rPr>
          <w:rFonts w:hint="eastAsia" w:cs="宋体" w:asciiTheme="minorEastAsia" w:hAnsiTheme="minorEastAsia"/>
          <w:szCs w:val="21"/>
        </w:rPr>
        <w:t>C.在啤酒工业上多用GA促进</w:t>
      </w:r>
      <m:oMath>
        <m:r>
          <m:rPr/>
          <w:rPr>
            <w:rFonts w:hint="eastAsia" w:ascii="Cambria Math" w:hAnsi="Cambria Math" w:cs="宋体"/>
            <w:szCs w:val="21"/>
          </w:rPr>
          <m:t>α</m:t>
        </m:r>
        <m:r>
          <m:rPr/>
          <w:rPr>
            <w:rFonts w:hint="eastAsia" w:cs="宋体" w:asciiTheme="minorEastAsia" w:hAnsiTheme="minorEastAsia"/>
            <w:szCs w:val="21"/>
          </w:rPr>
          <m:t>−</m:t>
        </m:r>
      </m:oMath>
      <w:r>
        <w:rPr>
          <w:rFonts w:hint="eastAsia" w:cs="宋体" w:asciiTheme="minorEastAsia" w:hAnsiTheme="minorEastAsia"/>
          <w:szCs w:val="21"/>
        </w:rPr>
        <w:t xml:space="preserve"> 淀粉酶的产生，避免大麦种子由于发芽而造成大量有机物消耗，从而节约成本</w:t>
      </w:r>
    </w:p>
    <w:p>
      <w:pPr>
        <w:spacing w:line="360" w:lineRule="auto"/>
        <w:rPr>
          <w:rFonts w:cs="宋体" w:asciiTheme="minorEastAsia" w:hAnsiTheme="minorEastAsia"/>
          <w:szCs w:val="21"/>
        </w:rPr>
      </w:pPr>
      <w:r>
        <w:rPr>
          <w:rFonts w:hint="eastAsia" w:cs="宋体" w:asciiTheme="minorEastAsia" w:hAnsiTheme="minorEastAsia"/>
          <w:szCs w:val="21"/>
        </w:rPr>
        <w:t>D.农业生产实践中不直接使用生长素，而是利用NAA等，原因在于其效果稳定、可大量生产等</w:t>
      </w:r>
    </w:p>
    <w:p>
      <w:pPr>
        <w:spacing w:line="360" w:lineRule="auto"/>
        <w:rPr>
          <w:rFonts w:cs="宋体" w:asciiTheme="minorEastAsia" w:hAnsiTheme="minorEastAsia"/>
          <w:szCs w:val="21"/>
        </w:rPr>
      </w:pPr>
      <w:r>
        <w:rPr>
          <w:rFonts w:hint="eastAsia" w:cs="宋体" w:asciiTheme="minorEastAsia" w:hAnsiTheme="minorEastAsia"/>
          <w:szCs w:val="21"/>
        </w:rPr>
        <w:t>7.植物生长调节剂在农林园艺生产中应用广泛，下列生产措施与预期结果对应一致的是(      )</w:t>
      </w:r>
    </w:p>
    <w:p>
      <w:pPr>
        <w:spacing w:line="360" w:lineRule="auto"/>
        <w:rPr>
          <w:rFonts w:cs="宋体" w:asciiTheme="minorEastAsia" w:hAnsiTheme="minorEastAsia"/>
          <w:szCs w:val="21"/>
        </w:rPr>
      </w:pPr>
      <w:r>
        <w:rPr>
          <w:rFonts w:hint="eastAsia" w:cs="宋体" w:asciiTheme="minorEastAsia" w:hAnsiTheme="minorEastAsia"/>
          <w:szCs w:val="21"/>
        </w:rPr>
        <w:t>A.播种前用一定浓度的赤霉素溶液浸泡种子——促进种子萌发</w:t>
      </w:r>
    </w:p>
    <w:p>
      <w:pPr>
        <w:spacing w:line="360" w:lineRule="auto"/>
        <w:rPr>
          <w:rFonts w:cs="宋体" w:asciiTheme="minorEastAsia" w:hAnsiTheme="minorEastAsia"/>
          <w:szCs w:val="21"/>
        </w:rPr>
      </w:pPr>
      <w:r>
        <w:rPr>
          <w:rFonts w:hint="eastAsia" w:cs="宋体" w:asciiTheme="minorEastAsia" w:hAnsiTheme="minorEastAsia"/>
          <w:szCs w:val="21"/>
        </w:rPr>
        <w:t>B.用适宜浓度的生长素类调节剂处理二倍体番茄幼苗——得到多倍体番茄</w:t>
      </w:r>
    </w:p>
    <w:p>
      <w:pPr>
        <w:spacing w:line="360" w:lineRule="auto"/>
        <w:rPr>
          <w:rFonts w:cs="宋体" w:asciiTheme="minorEastAsia" w:hAnsiTheme="minorEastAsia"/>
          <w:szCs w:val="21"/>
        </w:rPr>
      </w:pPr>
      <w:r>
        <w:rPr>
          <w:rFonts w:hint="eastAsia" w:cs="宋体" w:asciiTheme="minorEastAsia" w:hAnsiTheme="minorEastAsia"/>
          <w:szCs w:val="21"/>
        </w:rPr>
        <w:t>C.生长期喷洒适宜浓度的乙烯利——促进种子的形成和果实的发育</w:t>
      </w:r>
    </w:p>
    <w:p>
      <w:pPr>
        <w:spacing w:line="360" w:lineRule="auto"/>
        <w:rPr>
          <w:rFonts w:cs="宋体" w:asciiTheme="minorEastAsia" w:hAnsiTheme="minorEastAsia"/>
          <w:szCs w:val="21"/>
        </w:rPr>
      </w:pPr>
      <w:r>
        <w:rPr>
          <w:rFonts w:hint="eastAsia" w:cs="宋体" w:asciiTheme="minorEastAsia" w:hAnsiTheme="minorEastAsia"/>
          <w:szCs w:val="21"/>
        </w:rPr>
        <w:t>D.成熟期喷洒一定浓度的细胞分裂素溶液——加速叶片的黄化速度</w:t>
      </w:r>
    </w:p>
    <w:p>
      <w:pPr>
        <w:spacing w:line="360" w:lineRule="auto"/>
        <w:rPr>
          <w:rFonts w:asciiTheme="minorEastAsia" w:hAnsiTheme="minorEastAsia"/>
          <w:szCs w:val="21"/>
        </w:rPr>
      </w:pPr>
      <w:r>
        <w:rPr>
          <w:rFonts w:hint="eastAsia" w:asciiTheme="minorEastAsia" w:hAnsiTheme="minorEastAsia"/>
          <w:szCs w:val="21"/>
        </w:rPr>
        <w:t>8</w:t>
      </w:r>
      <w:r>
        <w:rPr>
          <w:rFonts w:asciiTheme="minorEastAsia" w:hAnsiTheme="minorEastAsia"/>
          <w:szCs w:val="21"/>
        </w:rPr>
        <w:t>.</w:t>
      </w:r>
      <w:r>
        <w:rPr>
          <w:rFonts w:hint="eastAsia" w:asciiTheme="minorEastAsia" w:hAnsiTheme="minorEastAsia"/>
          <w:szCs w:val="21"/>
        </w:rPr>
        <w:t>西瓜膨大剂是人工合成的一种化合物</w:t>
      </w:r>
      <w:r>
        <w:rPr>
          <w:rFonts w:asciiTheme="minorEastAsia" w:hAnsiTheme="minorEastAsia"/>
          <w:szCs w:val="21"/>
        </w:rPr>
        <w:t>,</w:t>
      </w:r>
      <w:r>
        <w:rPr>
          <w:rFonts w:hint="eastAsia" w:asciiTheme="minorEastAsia" w:hAnsiTheme="minorEastAsia"/>
          <w:szCs w:val="21"/>
        </w:rPr>
        <w:t>作用效果持久</w:t>
      </w:r>
      <w:r>
        <w:rPr>
          <w:rFonts w:asciiTheme="minorEastAsia" w:hAnsiTheme="minorEastAsia"/>
          <w:szCs w:val="21"/>
        </w:rPr>
        <w:t>,</w:t>
      </w:r>
      <w:r>
        <w:rPr>
          <w:rFonts w:hint="eastAsia" w:asciiTheme="minorEastAsia" w:hAnsiTheme="minorEastAsia"/>
          <w:szCs w:val="21"/>
        </w:rPr>
        <w:t>应用广泛。下列有关说法正确的是</w:t>
      </w:r>
      <w:r>
        <w:rPr>
          <w:rFonts w:asciiTheme="minorEastAsia" w:hAnsiTheme="minorEastAsia"/>
          <w:szCs w:val="21"/>
        </w:rPr>
        <w:tab/>
      </w:r>
      <w:r>
        <w:rPr>
          <w:rFonts w:asciiTheme="minorEastAsia" w:hAnsiTheme="minorEastAsia"/>
          <w:szCs w:val="21"/>
        </w:rPr>
        <w:t>(　　)</w:t>
      </w:r>
    </w:p>
    <w:p>
      <w:pPr>
        <w:spacing w:line="360" w:lineRule="auto"/>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西瓜膨大剂是一种植物激素</w:t>
      </w:r>
      <w:r>
        <w:rPr>
          <w:rFonts w:asciiTheme="minorEastAsia" w:hAnsiTheme="minorEastAsia"/>
          <w:szCs w:val="21"/>
        </w:rPr>
        <w:t>,</w:t>
      </w:r>
      <w:r>
        <w:rPr>
          <w:rFonts w:hint="eastAsia" w:asciiTheme="minorEastAsia" w:hAnsiTheme="minorEastAsia"/>
          <w:szCs w:val="21"/>
        </w:rPr>
        <w:t>从其功能推断</w:t>
      </w:r>
      <w:r>
        <w:rPr>
          <w:rFonts w:asciiTheme="minorEastAsia" w:hAnsiTheme="minorEastAsia"/>
          <w:szCs w:val="21"/>
        </w:rPr>
        <w:t>,</w:t>
      </w:r>
      <w:r>
        <w:rPr>
          <w:rFonts w:hint="eastAsia" w:asciiTheme="minorEastAsia" w:hAnsiTheme="minorEastAsia"/>
          <w:szCs w:val="21"/>
        </w:rPr>
        <w:t>它应该属于生长素的一种</w:t>
      </w:r>
    </w:p>
    <w:p>
      <w:pPr>
        <w:spacing w:line="360" w:lineRule="auto"/>
        <w:rPr>
          <w:rFonts w:asciiTheme="minorEastAsia" w:hAnsiTheme="minorEastAsia"/>
          <w:szCs w:val="21"/>
        </w:rPr>
      </w:pPr>
      <w:r>
        <w:rPr>
          <w:rFonts w:asciiTheme="minorEastAsia" w:hAnsiTheme="minorEastAsia"/>
          <w:szCs w:val="21"/>
        </w:rPr>
        <w:t>B.</w:t>
      </w:r>
      <w:r>
        <w:rPr>
          <w:rFonts w:hint="eastAsia" w:asciiTheme="minorEastAsia" w:hAnsiTheme="minorEastAsia"/>
          <w:szCs w:val="21"/>
        </w:rPr>
        <w:t>过量使用西瓜膨大剂</w:t>
      </w:r>
      <w:r>
        <w:rPr>
          <w:rFonts w:asciiTheme="minorEastAsia" w:hAnsiTheme="minorEastAsia"/>
          <w:szCs w:val="21"/>
        </w:rPr>
        <w:t>,</w:t>
      </w:r>
      <w:r>
        <w:rPr>
          <w:rFonts w:hint="eastAsia" w:asciiTheme="minorEastAsia" w:hAnsiTheme="minorEastAsia"/>
          <w:szCs w:val="21"/>
        </w:rPr>
        <w:t>其残留部分很可能造成青少年发育过快</w:t>
      </w:r>
    </w:p>
    <w:p>
      <w:pPr>
        <w:spacing w:line="360" w:lineRule="auto"/>
        <w:rPr>
          <w:rFonts w:asciiTheme="minorEastAsia" w:hAnsiTheme="minorEastAsia"/>
          <w:szCs w:val="21"/>
        </w:rPr>
      </w:pPr>
      <w:r>
        <w:rPr>
          <w:rFonts w:asciiTheme="minorEastAsia" w:hAnsiTheme="minorEastAsia"/>
          <w:szCs w:val="21"/>
        </w:rPr>
        <w:t>C.</w:t>
      </w:r>
      <w:r>
        <w:rPr>
          <w:rFonts w:hint="eastAsia" w:asciiTheme="minorEastAsia" w:hAnsiTheme="minorEastAsia"/>
          <w:szCs w:val="21"/>
        </w:rPr>
        <w:t>将生长素类调节剂涂在二倍体西瓜未受精的子房壁上</w:t>
      </w:r>
      <w:r>
        <w:rPr>
          <w:rFonts w:asciiTheme="minorEastAsia" w:hAnsiTheme="minorEastAsia"/>
          <w:szCs w:val="21"/>
        </w:rPr>
        <w:t>,</w:t>
      </w:r>
      <w:r>
        <w:rPr>
          <w:rFonts w:hint="eastAsia" w:asciiTheme="minorEastAsia" w:hAnsiTheme="minorEastAsia"/>
          <w:szCs w:val="21"/>
        </w:rPr>
        <w:t>可能得到无子西瓜</w:t>
      </w:r>
    </w:p>
    <w:p>
      <w:pPr>
        <w:spacing w:line="360" w:lineRule="auto"/>
        <w:rPr>
          <w:rFonts w:asciiTheme="minorEastAsia" w:hAnsiTheme="minorEastAsia"/>
          <w:szCs w:val="21"/>
        </w:rPr>
      </w:pPr>
      <w:r>
        <w:rPr>
          <w:rFonts w:asciiTheme="minorEastAsia" w:hAnsiTheme="minorEastAsia"/>
          <w:szCs w:val="21"/>
        </w:rPr>
        <w:t>D.</w:t>
      </w:r>
      <w:r>
        <w:rPr>
          <w:rFonts w:hint="eastAsia" w:asciiTheme="minorEastAsia" w:hAnsiTheme="minorEastAsia"/>
          <w:szCs w:val="21"/>
        </w:rPr>
        <w:t>高浓度的生长素能够促进乙烯的产生</w:t>
      </w:r>
      <w:r>
        <w:rPr>
          <w:rFonts w:asciiTheme="minorEastAsia" w:hAnsiTheme="minorEastAsia"/>
          <w:szCs w:val="21"/>
        </w:rPr>
        <w:t>,</w:t>
      </w:r>
      <w:r>
        <w:rPr>
          <w:rFonts w:hint="eastAsia" w:asciiTheme="minorEastAsia" w:hAnsiTheme="minorEastAsia"/>
          <w:szCs w:val="21"/>
        </w:rPr>
        <w:t>从而促进子房壁发育为成熟的果实</w:t>
      </w:r>
    </w:p>
    <w:p>
      <w:pPr>
        <w:spacing w:line="360" w:lineRule="auto"/>
        <w:rPr>
          <w:rFonts w:cs="宋体" w:asciiTheme="minorEastAsia" w:hAnsiTheme="minorEastAsia"/>
          <w:szCs w:val="21"/>
        </w:rPr>
      </w:pPr>
      <w:r>
        <w:rPr>
          <w:rFonts w:hint="eastAsia" w:cs="宋体" w:asciiTheme="minorEastAsia" w:hAnsiTheme="minorEastAsia"/>
          <w:szCs w:val="21"/>
        </w:rPr>
        <w:t>9.植物激素在植物的生长发育过程中至关重要。下列有关植物激素和植物生长调节剂的叙述，正确的是(     )</w:t>
      </w:r>
    </w:p>
    <w:p>
      <w:pPr>
        <w:spacing w:line="360" w:lineRule="auto"/>
        <w:rPr>
          <w:rFonts w:cs="宋体" w:asciiTheme="minorEastAsia" w:hAnsiTheme="minorEastAsia"/>
          <w:szCs w:val="21"/>
        </w:rPr>
      </w:pPr>
      <w:r>
        <w:rPr>
          <w:rFonts w:hint="eastAsia" w:cs="宋体" w:asciiTheme="minorEastAsia" w:hAnsiTheme="minorEastAsia"/>
          <w:szCs w:val="21"/>
        </w:rPr>
        <w:t>A.豌豆幼苗根尖伸长区细胞的生长主要是细胞分裂素作用的结果</w:t>
      </w:r>
    </w:p>
    <w:p>
      <w:pPr>
        <w:spacing w:line="360" w:lineRule="auto"/>
        <w:rPr>
          <w:rFonts w:cs="宋体" w:asciiTheme="minorEastAsia" w:hAnsiTheme="minorEastAsia"/>
          <w:szCs w:val="21"/>
        </w:rPr>
      </w:pPr>
      <w:r>
        <w:rPr>
          <w:rFonts w:hint="eastAsia" w:cs="宋体" w:asciiTheme="minorEastAsia" w:hAnsiTheme="minorEastAsia"/>
          <w:szCs w:val="21"/>
        </w:rPr>
        <w:t>B.菠萝在长途运输时，可以通过喷施乙烯利溶液使其延后成熟</w:t>
      </w:r>
    </w:p>
    <w:p>
      <w:pPr>
        <w:spacing w:line="360" w:lineRule="auto"/>
        <w:rPr>
          <w:rFonts w:cs="宋体" w:asciiTheme="minorEastAsia" w:hAnsiTheme="minorEastAsia"/>
          <w:szCs w:val="21"/>
        </w:rPr>
      </w:pPr>
      <w:r>
        <w:rPr>
          <w:rFonts w:hint="eastAsia" w:cs="宋体" w:asciiTheme="minorEastAsia" w:hAnsiTheme="minorEastAsia"/>
          <w:szCs w:val="21"/>
        </w:rPr>
        <w:t>C.给水稻幼苗喷施大量赤霉素溶液可导致其茎秆快速增长，结实率大大提高</w:t>
      </w:r>
    </w:p>
    <w:p>
      <w:pPr>
        <w:spacing w:line="360" w:lineRule="auto"/>
        <w:rPr>
          <w:rFonts w:cs="宋体" w:asciiTheme="minorEastAsia" w:hAnsiTheme="minorEastAsia"/>
          <w:szCs w:val="21"/>
        </w:rPr>
      </w:pPr>
      <w:r>
        <w:rPr>
          <w:rFonts w:hint="eastAsia" w:cs="宋体" w:asciiTheme="minorEastAsia" w:hAnsiTheme="minorEastAsia"/>
          <w:szCs w:val="21"/>
        </w:rPr>
        <w:t>D.小麦种子经适当高温处理后易诱导发芽，其主要原因是高温使脱落酸降解</w:t>
      </w:r>
    </w:p>
    <w:p>
      <w:pPr>
        <w:spacing w:line="360" w:lineRule="auto"/>
        <w:rPr>
          <w:rFonts w:cs="宋体" w:asciiTheme="minorEastAsia" w:hAnsiTheme="minorEastAsia"/>
          <w:szCs w:val="21"/>
        </w:rPr>
      </w:pPr>
      <w:r>
        <w:rPr>
          <w:rFonts w:hint="eastAsia" w:cs="宋体" w:asciiTheme="minorEastAsia" w:hAnsiTheme="minorEastAsia"/>
          <w:szCs w:val="21"/>
        </w:rPr>
        <w:t>10.实验证明2,4-D对杨树扦插枝条生根的影响情况如图所示。某研究性学习小组为了研究不同浓度2,4-D溶液对该植物生根的影响，以确定其促进生根的最适浓度，按照表设置了浓度梯度。下列相关叙述正确的是(     )</w:t>
      </w:r>
    </w:p>
    <w:p>
      <w:pPr>
        <w:spacing w:line="360" w:lineRule="auto"/>
        <w:jc w:val="center"/>
        <w:rPr>
          <w:rFonts w:cs="宋体" w:asciiTheme="minorEastAsia" w:hAnsiTheme="minorEastAsia"/>
          <w:szCs w:val="21"/>
        </w:rPr>
      </w:pPr>
      <w:r>
        <w:rPr>
          <w:rFonts w:hint="eastAsia" w:cs="宋体" w:asciiTheme="minorEastAsia" w:hAnsiTheme="minorEastAsia"/>
          <w:szCs w:val="21"/>
        </w:rPr>
        <w:drawing>
          <wp:inline distT="0" distB="0" distL="0" distR="0">
            <wp:extent cx="1652270" cy="1204595"/>
            <wp:effectExtent l="0" t="0" r="5080" b="14605"/>
            <wp:docPr id="403" name="图片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403"/>
                    <pic:cNvPicPr>
                      <a:picLocks noChangeAspect="1" noChangeArrowheads="1"/>
                    </pic:cNvPicPr>
                  </pic:nvPicPr>
                  <pic:blipFill>
                    <a:blip r:embed="rId4" cstate="print"/>
                    <a:stretch>
                      <a:fillRect/>
                    </a:stretch>
                  </pic:blipFill>
                  <pic:spPr>
                    <a:xfrm>
                      <a:off x="0" y="0"/>
                      <a:ext cx="1652588" cy="1204913"/>
                    </a:xfrm>
                    <a:prstGeom prst="rect">
                      <a:avLst/>
                    </a:prstGeom>
                  </pic:spPr>
                </pic:pic>
              </a:graphicData>
            </a:graphic>
          </wp:inline>
        </w:drawing>
      </w:r>
    </w:p>
    <w:tbl>
      <w:tblPr>
        <w:tblStyle w:val="3"/>
        <w:tblW w:w="5000" w:type="pct"/>
        <w:tblInd w:w="0" w:type="dxa"/>
        <w:tblBorders>
          <w:top w:val="single" w:color="auto" w:sz="0" w:space="0"/>
          <w:left w:val="single" w:color="auto" w:sz="0" w:space="0"/>
          <w:bottom w:val="single" w:color="auto" w:sz="0" w:space="0"/>
          <w:right w:val="single" w:color="auto" w:sz="0" w:space="0"/>
          <w:insideH w:val="single" w:color="auto" w:sz="4" w:space="0"/>
          <w:insideV w:val="single" w:color="auto" w:sz="4" w:space="0"/>
        </w:tblBorders>
        <w:tblLayout w:type="fixed"/>
        <w:tblCellMar>
          <w:top w:w="0" w:type="dxa"/>
          <w:left w:w="0" w:type="dxa"/>
          <w:bottom w:w="0" w:type="dxa"/>
          <w:right w:w="0" w:type="dxa"/>
        </w:tblCellMar>
      </w:tblPr>
      <w:tblGrid>
        <w:gridCol w:w="4781"/>
        <w:gridCol w:w="1244"/>
        <w:gridCol w:w="1245"/>
        <w:gridCol w:w="1042"/>
      </w:tblGrid>
      <w:tr>
        <w:tblPrEx>
          <w:tblBorders>
            <w:top w:val="single" w:color="auto" w:sz="0" w:space="0"/>
            <w:left w:val="single" w:color="auto" w:sz="0" w:space="0"/>
            <w:bottom w:val="single" w:color="auto" w:sz="0" w:space="0"/>
            <w:right w:val="single" w:color="auto" w:sz="0" w:space="0"/>
            <w:insideH w:val="single" w:color="auto" w:sz="4" w:space="0"/>
            <w:insideV w:val="single" w:color="auto" w:sz="4" w:space="0"/>
          </w:tblBorders>
          <w:tblCellMar>
            <w:top w:w="0" w:type="dxa"/>
            <w:left w:w="0" w:type="dxa"/>
            <w:bottom w:w="0" w:type="dxa"/>
            <w:right w:w="0" w:type="dxa"/>
          </w:tblCellMar>
        </w:tblPrEx>
        <w:tc>
          <w:tcPr>
            <w:tcW w:w="4786" w:type="dxa"/>
            <w:tcBorders>
              <w:top w:val="single" w:color="auto" w:sz="0" w:space="0"/>
              <w:left w:val="single" w:color="auto" w:sz="0" w:space="0"/>
              <w:bottom w:val="single" w:color="auto" w:sz="0" w:space="0"/>
              <w:right w:val="single" w:color="auto" w:sz="0" w:space="0"/>
            </w:tcBorders>
          </w:tcPr>
          <w:p>
            <w:pPr>
              <w:spacing w:line="360" w:lineRule="auto"/>
              <w:rPr>
                <w:rFonts w:cs="宋体" w:asciiTheme="minorEastAsia" w:hAnsiTheme="minorEastAsia"/>
                <w:szCs w:val="21"/>
              </w:rPr>
            </w:pPr>
            <w:r>
              <w:rPr>
                <w:rFonts w:hint="eastAsia" w:cs="宋体" w:asciiTheme="minorEastAsia" w:hAnsiTheme="minorEastAsia"/>
                <w:szCs w:val="21"/>
              </w:rPr>
              <w:t>组别</w:t>
            </w:r>
          </w:p>
        </w:tc>
        <w:tc>
          <w:tcPr>
            <w:tcW w:w="1246" w:type="dxa"/>
            <w:tcBorders>
              <w:top w:val="single" w:color="auto" w:sz="0" w:space="0"/>
              <w:left w:val="single" w:color="auto" w:sz="0" w:space="0"/>
              <w:bottom w:val="single" w:color="auto" w:sz="0" w:space="0"/>
              <w:right w:val="single" w:color="auto" w:sz="0" w:space="0"/>
            </w:tcBorders>
          </w:tcPr>
          <w:p>
            <w:pPr>
              <w:spacing w:line="360" w:lineRule="auto"/>
              <w:rPr>
                <w:rFonts w:cs="宋体" w:asciiTheme="minorEastAsia" w:hAnsiTheme="minorEastAsia"/>
                <w:szCs w:val="21"/>
              </w:rPr>
            </w:pPr>
            <w:r>
              <w:rPr>
                <w:rFonts w:hint="eastAsia" w:cs="宋体" w:asciiTheme="minorEastAsia" w:hAnsiTheme="minorEastAsia"/>
                <w:szCs w:val="21"/>
              </w:rPr>
              <w:t>A</w:t>
            </w:r>
          </w:p>
        </w:tc>
        <w:tc>
          <w:tcPr>
            <w:tcW w:w="1246" w:type="dxa"/>
            <w:tcBorders>
              <w:top w:val="single" w:color="auto" w:sz="0" w:space="0"/>
              <w:left w:val="single" w:color="auto" w:sz="0" w:space="0"/>
              <w:bottom w:val="single" w:color="auto" w:sz="0" w:space="0"/>
              <w:right w:val="single" w:color="auto" w:sz="0" w:space="0"/>
            </w:tcBorders>
          </w:tcPr>
          <w:p>
            <w:pPr>
              <w:spacing w:line="360" w:lineRule="auto"/>
              <w:rPr>
                <w:rFonts w:cs="宋体" w:asciiTheme="minorEastAsia" w:hAnsiTheme="minorEastAsia"/>
                <w:szCs w:val="21"/>
              </w:rPr>
            </w:pPr>
            <w:r>
              <w:rPr>
                <w:rFonts w:hint="eastAsia" w:cs="宋体" w:asciiTheme="minorEastAsia" w:hAnsiTheme="minorEastAsia"/>
                <w:szCs w:val="21"/>
              </w:rPr>
              <w:t>B</w:t>
            </w:r>
          </w:p>
        </w:tc>
        <w:tc>
          <w:tcPr>
            <w:tcW w:w="1042" w:type="dxa"/>
            <w:tcBorders>
              <w:top w:val="single" w:color="auto" w:sz="0" w:space="0"/>
              <w:left w:val="single" w:color="auto" w:sz="0" w:space="0"/>
              <w:bottom w:val="single" w:color="auto" w:sz="0" w:space="0"/>
              <w:right w:val="single" w:color="auto" w:sz="0" w:space="0"/>
            </w:tcBorders>
          </w:tcPr>
          <w:p>
            <w:pPr>
              <w:spacing w:line="360" w:lineRule="auto"/>
              <w:rPr>
                <w:rFonts w:cs="宋体" w:asciiTheme="minorEastAsia" w:hAnsiTheme="minorEastAsia"/>
                <w:szCs w:val="21"/>
              </w:rPr>
            </w:pPr>
            <w:r>
              <w:rPr>
                <w:rFonts w:hint="eastAsia" w:cs="宋体" w:asciiTheme="minorEastAsia" w:hAnsiTheme="minorEastAsia"/>
                <w:szCs w:val="21"/>
              </w:rPr>
              <w:t>C</w:t>
            </w:r>
          </w:p>
        </w:tc>
      </w:tr>
      <w:tr>
        <w:tblPrEx>
          <w:tblBorders>
            <w:top w:val="single" w:color="auto" w:sz="0" w:space="0"/>
            <w:left w:val="single" w:color="auto" w:sz="0" w:space="0"/>
            <w:bottom w:val="single" w:color="auto" w:sz="0" w:space="0"/>
            <w:right w:val="single" w:color="auto" w:sz="0" w:space="0"/>
            <w:insideH w:val="single" w:color="auto" w:sz="4" w:space="0"/>
            <w:insideV w:val="single" w:color="auto" w:sz="4" w:space="0"/>
          </w:tblBorders>
          <w:tblCellMar>
            <w:top w:w="0" w:type="dxa"/>
            <w:left w:w="0" w:type="dxa"/>
            <w:bottom w:w="0" w:type="dxa"/>
            <w:right w:w="0" w:type="dxa"/>
          </w:tblCellMar>
        </w:tblPrEx>
        <w:tc>
          <w:tcPr>
            <w:tcW w:w="4786" w:type="dxa"/>
            <w:tcBorders>
              <w:top w:val="single" w:color="auto" w:sz="0" w:space="0"/>
              <w:left w:val="single" w:color="auto" w:sz="0" w:space="0"/>
              <w:bottom w:val="single" w:color="auto" w:sz="0" w:space="0"/>
              <w:right w:val="single" w:color="auto" w:sz="0" w:space="0"/>
            </w:tcBorders>
          </w:tcPr>
          <w:p>
            <w:pPr>
              <w:spacing w:line="360" w:lineRule="auto"/>
              <w:rPr>
                <w:rFonts w:cs="宋体" w:asciiTheme="minorEastAsia" w:hAnsiTheme="minorEastAsia"/>
                <w:szCs w:val="21"/>
              </w:rPr>
            </w:pPr>
            <w:r>
              <w:rPr>
                <w:rFonts w:hint="eastAsia" w:cs="宋体" w:asciiTheme="minorEastAsia" w:hAnsiTheme="minorEastAsia"/>
                <w:szCs w:val="21"/>
              </w:rPr>
              <w:t>2,4-D浓度</w:t>
            </w:r>
            <m:oMath>
              <m:r>
                <m:rPr/>
                <w:rPr>
                  <w:rFonts w:hint="eastAsia" w:ascii="Cambria Math" w:cs="宋体" w:hAnsiTheme="minorEastAsia"/>
                  <w:szCs w:val="21"/>
                </w:rPr>
                <m:t>/(</m:t>
              </m:r>
              <m:r>
                <m:rPr>
                  <m:sty m:val="p"/>
                </m:rPr>
                <w:rPr>
                  <w:rFonts w:hint="eastAsia" w:ascii="Cambria Math" w:cs="宋体" w:hAnsiTheme="minorEastAsia"/>
                  <w:szCs w:val="21"/>
                </w:rPr>
                <m:t>mol</m:t>
              </m:r>
              <m:r>
                <m:rPr>
                  <m:sty m:val="p"/>
                </m:rPr>
                <w:rPr>
                  <w:rFonts w:hint="eastAsia" w:ascii="MS Mincho" w:hAnsi="MS Mincho" w:eastAsia="MS Mincho" w:cs="MS Mincho"/>
                  <w:szCs w:val="21"/>
                </w:rPr>
                <m:t>⋅</m:t>
              </m:r>
              <m:sSup>
                <m:sSupPr>
                  <m:ctrlPr>
                    <w:rPr>
                      <w:rFonts w:hint="eastAsia" w:ascii="Cambria Math" w:cs="宋体" w:hAnsiTheme="minorEastAsia"/>
                      <w:szCs w:val="21"/>
                    </w:rPr>
                  </m:ctrlPr>
                </m:sSupPr>
                <m:e>
                  <m:r>
                    <m:rPr>
                      <m:sty m:val="p"/>
                    </m:rPr>
                    <w:rPr>
                      <w:rFonts w:hint="eastAsia" w:ascii="Cambria Math" w:cs="宋体" w:hAnsiTheme="minorEastAsia"/>
                      <w:szCs w:val="21"/>
                    </w:rPr>
                    <m:t>L</m:t>
                  </m:r>
                  <m:ctrlPr>
                    <w:rPr>
                      <w:rFonts w:hint="eastAsia" w:ascii="Cambria Math" w:cs="宋体" w:hAnsiTheme="minorEastAsia"/>
                      <w:szCs w:val="21"/>
                    </w:rPr>
                  </m:ctrlPr>
                </m:e>
                <m:sup>
                  <m:r>
                    <m:rPr>
                      <m:sty m:val="p"/>
                    </m:rPr>
                    <w:rPr>
                      <w:rFonts w:hint="eastAsia" w:ascii="MS Mincho" w:hAnsi="MS Mincho" w:eastAsia="MS Mincho" w:cs="MS Mincho"/>
                      <w:szCs w:val="21"/>
                    </w:rPr>
                    <m:t>−</m:t>
                  </m:r>
                  <m:r>
                    <m:rPr>
                      <m:sty m:val="p"/>
                    </m:rPr>
                    <w:rPr>
                      <w:rFonts w:hint="eastAsia" w:ascii="Cambria Math" w:cs="宋体" w:hAnsiTheme="minorEastAsia"/>
                      <w:szCs w:val="21"/>
                    </w:rPr>
                    <m:t>1</m:t>
                  </m:r>
                  <m:ctrlPr>
                    <w:rPr>
                      <w:rFonts w:hint="eastAsia" w:ascii="Cambria Math" w:cs="宋体" w:hAnsiTheme="minorEastAsia"/>
                      <w:szCs w:val="21"/>
                    </w:rPr>
                  </m:ctrlPr>
                </m:sup>
              </m:sSup>
              <m:r>
                <m:rPr/>
                <w:rPr>
                  <w:rFonts w:hint="eastAsia" w:ascii="Cambria Math" w:cs="宋体" w:hAnsiTheme="minorEastAsia"/>
                  <w:szCs w:val="21"/>
                </w:rPr>
                <m:t>)</m:t>
              </m:r>
            </m:oMath>
            <w:r>
              <w:rPr>
                <w:rFonts w:hint="eastAsia" w:cs="宋体" w:asciiTheme="minorEastAsia" w:hAnsiTheme="minorEastAsia"/>
                <w:szCs w:val="21"/>
              </w:rPr>
              <w:t xml:space="preserve"> </w:t>
            </w:r>
          </w:p>
        </w:tc>
        <w:tc>
          <w:tcPr>
            <w:tcW w:w="1246" w:type="dxa"/>
            <w:tcBorders>
              <w:top w:val="single" w:color="auto" w:sz="0" w:space="0"/>
              <w:left w:val="single" w:color="auto" w:sz="0" w:space="0"/>
              <w:bottom w:val="single" w:color="auto" w:sz="0" w:space="0"/>
              <w:right w:val="single" w:color="auto" w:sz="0" w:space="0"/>
            </w:tcBorders>
          </w:tcPr>
          <w:p>
            <w:pPr>
              <w:spacing w:line="360" w:lineRule="auto"/>
              <w:rPr>
                <w:rFonts w:cs="宋体" w:asciiTheme="minorEastAsia" w:hAnsiTheme="minorEastAsia"/>
                <w:szCs w:val="21"/>
              </w:rPr>
            </w:pPr>
            <m:oMath>
              <m:sSup>
                <m:sSupPr>
                  <m:ctrlPr>
                    <w:rPr>
                      <w:rFonts w:hint="eastAsia" w:ascii="Cambria Math" w:cs="宋体" w:hAnsiTheme="minorEastAsia"/>
                      <w:szCs w:val="21"/>
                    </w:rPr>
                  </m:ctrlPr>
                </m:sSupPr>
                <m:e>
                  <m:r>
                    <m:rPr/>
                    <w:rPr>
                      <w:rFonts w:hint="eastAsia" w:ascii="Cambria Math" w:cs="宋体" w:hAnsiTheme="minorEastAsia"/>
                      <w:szCs w:val="21"/>
                    </w:rPr>
                    <m:t>10</m:t>
                  </m:r>
                  <m:ctrlPr>
                    <w:rPr>
                      <w:rFonts w:hint="eastAsia" w:ascii="Cambria Math" w:cs="宋体" w:hAnsiTheme="minorEastAsia"/>
                      <w:szCs w:val="21"/>
                    </w:rPr>
                  </m:ctrlPr>
                </m:e>
                <m:sup>
                  <m:r>
                    <m:rPr/>
                    <w:rPr>
                      <w:rFonts w:hint="eastAsia" w:ascii="MS Mincho" w:hAnsi="MS Mincho" w:eastAsia="MS Mincho" w:cs="MS Mincho"/>
                      <w:szCs w:val="21"/>
                    </w:rPr>
                    <m:t>−</m:t>
                  </m:r>
                  <m:r>
                    <m:rPr/>
                    <w:rPr>
                      <w:rFonts w:hint="eastAsia" w:ascii="Cambria Math" w:cs="宋体" w:hAnsiTheme="minorEastAsia"/>
                      <w:szCs w:val="21"/>
                    </w:rPr>
                    <m:t>14</m:t>
                  </m:r>
                  <m:ctrlPr>
                    <w:rPr>
                      <w:rFonts w:hint="eastAsia" w:ascii="Cambria Math" w:cs="宋体" w:hAnsiTheme="minorEastAsia"/>
                      <w:szCs w:val="21"/>
                    </w:rPr>
                  </m:ctrlPr>
                </m:sup>
              </m:sSup>
            </m:oMath>
            <w:r>
              <w:rPr>
                <w:rFonts w:hint="eastAsia" w:cs="宋体" w:asciiTheme="minorEastAsia" w:hAnsiTheme="minorEastAsia"/>
                <w:szCs w:val="21"/>
              </w:rPr>
              <w:t xml:space="preserve"> </w:t>
            </w:r>
          </w:p>
        </w:tc>
        <w:tc>
          <w:tcPr>
            <w:tcW w:w="1246" w:type="dxa"/>
            <w:tcBorders>
              <w:top w:val="single" w:color="auto" w:sz="0" w:space="0"/>
              <w:left w:val="single" w:color="auto" w:sz="0" w:space="0"/>
              <w:bottom w:val="single" w:color="auto" w:sz="0" w:space="0"/>
              <w:right w:val="single" w:color="auto" w:sz="0" w:space="0"/>
            </w:tcBorders>
          </w:tcPr>
          <w:p>
            <w:pPr>
              <w:spacing w:line="360" w:lineRule="auto"/>
              <w:rPr>
                <w:rFonts w:cs="宋体" w:asciiTheme="minorEastAsia" w:hAnsiTheme="minorEastAsia"/>
                <w:szCs w:val="21"/>
              </w:rPr>
            </w:pPr>
            <m:oMath>
              <m:sSup>
                <m:sSupPr>
                  <m:ctrlPr>
                    <w:rPr>
                      <w:rFonts w:hint="eastAsia" w:ascii="Cambria Math" w:cs="宋体" w:hAnsiTheme="minorEastAsia"/>
                      <w:szCs w:val="21"/>
                    </w:rPr>
                  </m:ctrlPr>
                </m:sSupPr>
                <m:e>
                  <m:r>
                    <m:rPr/>
                    <w:rPr>
                      <w:rFonts w:hint="eastAsia" w:ascii="Cambria Math" w:cs="宋体" w:hAnsiTheme="minorEastAsia"/>
                      <w:szCs w:val="21"/>
                    </w:rPr>
                    <m:t>10</m:t>
                  </m:r>
                  <m:ctrlPr>
                    <w:rPr>
                      <w:rFonts w:hint="eastAsia" w:ascii="Cambria Math" w:cs="宋体" w:hAnsiTheme="minorEastAsia"/>
                      <w:szCs w:val="21"/>
                    </w:rPr>
                  </m:ctrlPr>
                </m:e>
                <m:sup>
                  <m:r>
                    <m:rPr/>
                    <w:rPr>
                      <w:rFonts w:hint="eastAsia" w:ascii="MS Mincho" w:hAnsi="MS Mincho" w:eastAsia="MS Mincho" w:cs="MS Mincho"/>
                      <w:szCs w:val="21"/>
                    </w:rPr>
                    <m:t>−</m:t>
                  </m:r>
                  <m:r>
                    <m:rPr/>
                    <w:rPr>
                      <w:rFonts w:hint="eastAsia" w:ascii="Cambria Math" w:cs="宋体" w:hAnsiTheme="minorEastAsia"/>
                      <w:szCs w:val="21"/>
                    </w:rPr>
                    <m:t>10</m:t>
                  </m:r>
                  <m:ctrlPr>
                    <w:rPr>
                      <w:rFonts w:hint="eastAsia" w:ascii="Cambria Math" w:cs="宋体" w:hAnsiTheme="minorEastAsia"/>
                      <w:szCs w:val="21"/>
                    </w:rPr>
                  </m:ctrlPr>
                </m:sup>
              </m:sSup>
            </m:oMath>
            <w:r>
              <w:rPr>
                <w:rFonts w:hint="eastAsia" w:cs="宋体" w:asciiTheme="minorEastAsia" w:hAnsiTheme="minorEastAsia"/>
                <w:szCs w:val="21"/>
              </w:rPr>
              <w:t xml:space="preserve"> </w:t>
            </w:r>
          </w:p>
        </w:tc>
        <w:tc>
          <w:tcPr>
            <w:tcW w:w="1042" w:type="dxa"/>
            <w:tcBorders>
              <w:top w:val="single" w:color="auto" w:sz="0" w:space="0"/>
              <w:left w:val="single" w:color="auto" w:sz="0" w:space="0"/>
              <w:bottom w:val="single" w:color="auto" w:sz="0" w:space="0"/>
              <w:right w:val="single" w:color="auto" w:sz="0" w:space="0"/>
            </w:tcBorders>
          </w:tcPr>
          <w:p>
            <w:pPr>
              <w:spacing w:line="360" w:lineRule="auto"/>
              <w:rPr>
                <w:rFonts w:cs="宋体" w:asciiTheme="minorEastAsia" w:hAnsiTheme="minorEastAsia"/>
                <w:szCs w:val="21"/>
              </w:rPr>
            </w:pPr>
            <m:oMath>
              <m:sSup>
                <m:sSupPr>
                  <m:ctrlPr>
                    <w:rPr>
                      <w:rFonts w:hint="eastAsia" w:ascii="Cambria Math" w:cs="宋体" w:hAnsiTheme="minorEastAsia"/>
                      <w:szCs w:val="21"/>
                    </w:rPr>
                  </m:ctrlPr>
                </m:sSupPr>
                <m:e>
                  <m:r>
                    <m:rPr/>
                    <w:rPr>
                      <w:rFonts w:hint="eastAsia" w:ascii="Cambria Math" w:cs="宋体" w:hAnsiTheme="minorEastAsia"/>
                      <w:szCs w:val="21"/>
                    </w:rPr>
                    <m:t>10</m:t>
                  </m:r>
                  <m:ctrlPr>
                    <w:rPr>
                      <w:rFonts w:hint="eastAsia" w:ascii="Cambria Math" w:cs="宋体" w:hAnsiTheme="minorEastAsia"/>
                      <w:szCs w:val="21"/>
                    </w:rPr>
                  </m:ctrlPr>
                </m:e>
                <m:sup>
                  <m:r>
                    <m:rPr/>
                    <w:rPr>
                      <w:rFonts w:hint="eastAsia" w:ascii="MS Mincho" w:hAnsi="MS Mincho" w:eastAsia="MS Mincho" w:cs="MS Mincho"/>
                      <w:szCs w:val="21"/>
                    </w:rPr>
                    <m:t>−</m:t>
                  </m:r>
                  <m:r>
                    <m:rPr/>
                    <w:rPr>
                      <w:rFonts w:hint="eastAsia" w:ascii="Cambria Math" w:cs="宋体" w:hAnsiTheme="minorEastAsia"/>
                      <w:szCs w:val="21"/>
                    </w:rPr>
                    <m:t>6</m:t>
                  </m:r>
                  <m:ctrlPr>
                    <w:rPr>
                      <w:rFonts w:hint="eastAsia" w:ascii="Cambria Math" w:cs="宋体" w:hAnsiTheme="minorEastAsia"/>
                      <w:szCs w:val="21"/>
                    </w:rPr>
                  </m:ctrlPr>
                </m:sup>
              </m:sSup>
            </m:oMath>
            <w:r>
              <w:rPr>
                <w:rFonts w:hint="eastAsia" w:cs="宋体" w:asciiTheme="minorEastAsia" w:hAnsiTheme="minorEastAsia"/>
                <w:szCs w:val="21"/>
              </w:rPr>
              <w:t xml:space="preserve"> </w:t>
            </w:r>
          </w:p>
        </w:tc>
      </w:tr>
    </w:tbl>
    <w:p>
      <w:pPr>
        <w:spacing w:line="360" w:lineRule="auto"/>
        <w:rPr>
          <w:rFonts w:cs="宋体" w:asciiTheme="minorEastAsia" w:hAnsiTheme="minorEastAsia"/>
          <w:szCs w:val="21"/>
        </w:rPr>
      </w:pPr>
      <w:r>
        <w:rPr>
          <w:rFonts w:hint="eastAsia" w:cs="宋体" w:asciiTheme="minorEastAsia" w:hAnsiTheme="minorEastAsia"/>
          <w:szCs w:val="21"/>
        </w:rPr>
        <w:t xml:space="preserve"> </w:t>
      </w:r>
    </w:p>
    <w:p>
      <w:pPr>
        <w:spacing w:line="360" w:lineRule="auto"/>
        <w:rPr>
          <w:rFonts w:cs="宋体" w:asciiTheme="minorEastAsia" w:hAnsiTheme="minorEastAsia"/>
          <w:szCs w:val="21"/>
        </w:rPr>
      </w:pPr>
      <w:r>
        <w:rPr>
          <w:rFonts w:hint="eastAsia" w:cs="宋体" w:asciiTheme="minorEastAsia" w:hAnsiTheme="minorEastAsia"/>
          <w:szCs w:val="21"/>
        </w:rPr>
        <w:t>A.图示2,4-D促进扦插枝条生根的实验体现了其促进作用和抑制作用</w:t>
      </w:r>
    </w:p>
    <w:p>
      <w:pPr>
        <w:spacing w:line="360" w:lineRule="auto"/>
        <w:rPr>
          <w:rFonts w:cs="宋体" w:asciiTheme="minorEastAsia" w:hAnsiTheme="minorEastAsia"/>
          <w:szCs w:val="21"/>
        </w:rPr>
      </w:pPr>
      <w:r>
        <w:rPr>
          <w:rFonts w:hint="eastAsia" w:cs="宋体" w:asciiTheme="minorEastAsia" w:hAnsiTheme="minorEastAsia"/>
          <w:szCs w:val="21"/>
        </w:rPr>
        <w:t>B.该研究性学习小组根据其实验结果能够确定2,4-D促进扦插枝条生根的最适浓度</w:t>
      </w:r>
    </w:p>
    <w:p>
      <w:pPr>
        <w:spacing w:line="360" w:lineRule="auto"/>
        <w:rPr>
          <w:rFonts w:cs="宋体" w:asciiTheme="minorEastAsia" w:hAnsiTheme="minorEastAsia"/>
          <w:szCs w:val="21"/>
        </w:rPr>
      </w:pPr>
      <w:r>
        <w:rPr>
          <w:rFonts w:hint="eastAsia" w:cs="宋体" w:asciiTheme="minorEastAsia" w:hAnsiTheme="minorEastAsia"/>
          <w:szCs w:val="21"/>
        </w:rPr>
        <w:t>C.该实验中用2,4-D溶液对插枝处理的方法有浸泡法和沾蘸法</w:t>
      </w:r>
    </w:p>
    <w:p>
      <w:pPr>
        <w:spacing w:line="360" w:lineRule="auto"/>
        <w:rPr>
          <w:rFonts w:cs="宋体" w:asciiTheme="minorEastAsia" w:hAnsiTheme="minorEastAsia"/>
          <w:szCs w:val="21"/>
        </w:rPr>
      </w:pPr>
      <w:r>
        <w:rPr>
          <w:rFonts w:hint="eastAsia" w:cs="宋体" w:asciiTheme="minorEastAsia" w:hAnsiTheme="minorEastAsia"/>
          <w:szCs w:val="21"/>
        </w:rPr>
        <w:t>D.用2,4-D处理扦插枝条时，应该处理扦插枝条的上端</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NzU3YmUyY2UzOTJlZTI4MzE4MjMwZGIzZDU3MTcifQ=="/>
  </w:docVars>
  <w:rsids>
    <w:rsidRoot w:val="72E41AA0"/>
    <w:rsid w:val="72E41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2024-08-24T12:35:00Z</dcterms:created>
  <dc:creator>ASUS</dc:creator>
  <cp:lastModifiedBy>ASUS</cp:lastModifiedBy>
  <dcterms:modified xsi:type="dcterms:W3CDTF">2024-08-24T12:35:46Z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BD4318C03314434F922A38939DBC2D37_11</vt:lpwstr>
  </property>
</Properties>
</file>