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9F1A0">
      <w:pPr>
        <w:pStyle w:val="2"/>
        <w:jc w:val="center"/>
        <w:rPr>
          <w:rFonts w:hint="eastAsia" w:eastAsia="等线"/>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page">
              <wp:posOffset>12661900</wp:posOffset>
            </wp:positionH>
            <wp:positionV relativeFrom="topMargin">
              <wp:posOffset>10845800</wp:posOffset>
            </wp:positionV>
            <wp:extent cx="457200" cy="469900"/>
            <wp:effectExtent l="0" t="0" r="0" b="635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6"/>
                    <a:stretch>
                      <a:fillRect/>
                    </a:stretch>
                  </pic:blipFill>
                  <pic:spPr>
                    <a:xfrm>
                      <a:off x="0" y="0"/>
                      <a:ext cx="457200" cy="469900"/>
                    </a:xfrm>
                    <a:prstGeom prst="rect">
                      <a:avLst/>
                    </a:prstGeom>
                  </pic:spPr>
                </pic:pic>
              </a:graphicData>
            </a:graphic>
          </wp:anchor>
        </w:drawing>
      </w:r>
      <w:r>
        <w:rPr>
          <w:rFonts w:hint="eastAsia"/>
          <w:lang w:val="en-US" w:eastAsia="zh-CN"/>
        </w:rPr>
        <w:t>2.3</w:t>
      </w:r>
      <w:r>
        <w:t>《地域文化与城乡景观》</w:t>
      </w:r>
      <w:r>
        <w:rPr>
          <w:rFonts w:hint="eastAsia"/>
          <w:lang w:val="en-US" w:eastAsia="zh-CN"/>
        </w:rPr>
        <w:t>导学案</w:t>
      </w:r>
    </w:p>
    <w:p w14:paraId="298FA790">
      <w:pPr>
        <w:pStyle w:val="3"/>
      </w:pPr>
      <w:r>
        <w:t>一、教学目标</w:t>
      </w:r>
    </w:p>
    <w:p w14:paraId="069AF56B">
      <w:pPr>
        <w:pStyle w:val="18"/>
        <w:numPr>
          <w:ilvl w:val="0"/>
          <w:numId w:val="0"/>
        </w:numPr>
        <w:ind w:left="288" w:hanging="288"/>
      </w:pPr>
      <w:r>
        <w:rPr>
          <w:rFonts w:hint="eastAsia"/>
          <w:lang w:val="en-US" w:eastAsia="zh-CN"/>
        </w:rPr>
        <w:t>1</w:t>
      </w:r>
      <w:r>
        <w:t>学生能够理解地域文化的概念，并通过实例进行识别。</w:t>
      </w:r>
    </w:p>
    <w:p w14:paraId="044FA63A">
      <w:pPr>
        <w:pStyle w:val="18"/>
        <w:numPr>
          <w:ilvl w:val="0"/>
          <w:numId w:val="0"/>
        </w:numPr>
        <w:ind w:left="288" w:hanging="288"/>
      </w:pPr>
      <w:r>
        <w:rPr>
          <w:rFonts w:hint="eastAsia"/>
          <w:lang w:val="en-US" w:eastAsia="zh-CN"/>
        </w:rPr>
        <w:t>2</w:t>
      </w:r>
      <w:r>
        <w:t>学生能够分析地域文化与乡村景观之间的关系，包括景观的结构特征及其与文化、自然环境的联系。</w:t>
      </w:r>
    </w:p>
    <w:p w14:paraId="134A0E7E">
      <w:pPr>
        <w:pStyle w:val="18"/>
        <w:numPr>
          <w:ilvl w:val="0"/>
          <w:numId w:val="0"/>
        </w:numPr>
        <w:ind w:left="288" w:hanging="288"/>
      </w:pPr>
      <w:r>
        <w:rPr>
          <w:rFonts w:hint="eastAsia"/>
          <w:lang w:val="en-US" w:eastAsia="zh-CN"/>
        </w:rPr>
        <w:t>3</w:t>
      </w:r>
      <w:r>
        <w:t>学生能够阐述地域文化与城镇景观之间的关系，并通过实例进行分析。</w:t>
      </w:r>
    </w:p>
    <w:p w14:paraId="1C1373B1">
      <w:pPr>
        <w:pStyle w:val="3"/>
      </w:pPr>
      <w:r>
        <w:t>二、教学重难点</w:t>
      </w:r>
    </w:p>
    <w:p w14:paraId="0606D313">
      <w:pPr>
        <w:pStyle w:val="18"/>
        <w:numPr>
          <w:ilvl w:val="0"/>
          <w:numId w:val="0"/>
        </w:numPr>
        <w:ind w:left="288" w:hanging="288"/>
      </w:pPr>
      <w:r>
        <w:rPr>
          <w:rFonts w:hint="eastAsia"/>
          <w:b/>
          <w:bCs/>
          <w:lang w:val="en-US" w:eastAsia="zh-CN"/>
        </w:rPr>
        <w:t>1</w:t>
      </w:r>
      <w:r>
        <w:rPr>
          <w:b/>
          <w:bCs/>
        </w:rPr>
        <w:t>重点</w:t>
      </w:r>
    </w:p>
    <w:p w14:paraId="333215EA">
      <w:pPr>
        <w:pStyle w:val="18"/>
        <w:numPr>
          <w:ilvl w:val="1"/>
          <w:numId w:val="1"/>
        </w:numPr>
      </w:pPr>
      <w:r>
        <w:t>掌握地域文化的概念。</w:t>
      </w:r>
    </w:p>
    <w:p w14:paraId="7CE1FFE7">
      <w:pPr>
        <w:pStyle w:val="18"/>
        <w:numPr>
          <w:ilvl w:val="1"/>
          <w:numId w:val="1"/>
        </w:numPr>
      </w:pPr>
      <w:r>
        <w:t>分析地域文化与乡村景观、城镇景观的关系。</w:t>
      </w:r>
    </w:p>
    <w:p w14:paraId="5D0705FF">
      <w:pPr>
        <w:pStyle w:val="18"/>
        <w:numPr>
          <w:ilvl w:val="1"/>
          <w:numId w:val="1"/>
        </w:numPr>
      </w:pPr>
      <w:r>
        <w:t>理解景观结构特征与文化、自然环境的相互作用。</w:t>
      </w:r>
    </w:p>
    <w:p w14:paraId="07619E77">
      <w:pPr>
        <w:pStyle w:val="18"/>
        <w:numPr>
          <w:ilvl w:val="0"/>
          <w:numId w:val="0"/>
        </w:numPr>
        <w:ind w:left="288" w:hanging="288"/>
      </w:pPr>
      <w:r>
        <w:rPr>
          <w:rFonts w:hint="eastAsia"/>
          <w:b/>
          <w:bCs/>
          <w:lang w:val="en-US" w:eastAsia="zh-CN"/>
        </w:rPr>
        <w:t>2</w:t>
      </w:r>
      <w:r>
        <w:rPr>
          <w:b/>
          <w:bCs/>
        </w:rPr>
        <w:t>难点</w:t>
      </w:r>
    </w:p>
    <w:p w14:paraId="71125785">
      <w:pPr>
        <w:pStyle w:val="18"/>
        <w:numPr>
          <w:ilvl w:val="1"/>
          <w:numId w:val="1"/>
        </w:numPr>
      </w:pPr>
      <w:r>
        <w:t>深入剖析地域文化如何影响乡村和城镇景观的形成与发展。</w:t>
      </w:r>
    </w:p>
    <w:p w14:paraId="732A081B">
      <w:pPr>
        <w:pStyle w:val="18"/>
        <w:numPr>
          <w:ilvl w:val="1"/>
          <w:numId w:val="1"/>
        </w:numPr>
      </w:pPr>
      <w:r>
        <w:t>综合分析不同区域环境下景观结构特征的差异及其背后的文化和自然因素。</w:t>
      </w:r>
    </w:p>
    <w:p w14:paraId="01BFD3D5">
      <w:pPr>
        <w:pStyle w:val="3"/>
      </w:pPr>
      <w:r>
        <w:t>三、教学方法</w:t>
      </w:r>
    </w:p>
    <w:p w14:paraId="7B472138">
      <w:pPr>
        <w:pStyle w:val="18"/>
      </w:pPr>
      <w:r>
        <w:t>讲授法、案例分析法、讨论法、直观演示法</w:t>
      </w:r>
    </w:p>
    <w:p w14:paraId="3C8B53C9">
      <w:pPr>
        <w:pStyle w:val="3"/>
      </w:pPr>
      <w:r>
        <w:t>四、教学过程</w:t>
      </w:r>
    </w:p>
    <w:p w14:paraId="725C7D45">
      <w:pPr>
        <w:pStyle w:val="4"/>
      </w:pPr>
      <w:r>
        <w:t>（一）导入</w:t>
      </w:r>
    </w:p>
    <w:p w14:paraId="52C9712E">
      <w:pPr>
        <w:pStyle w:val="18"/>
        <w:numPr>
          <w:ilvl w:val="0"/>
          <w:numId w:val="0"/>
        </w:numPr>
        <w:ind w:left="288" w:hanging="288"/>
      </w:pPr>
      <w:r>
        <w:drawing>
          <wp:anchor distT="0" distB="0" distL="114300" distR="114300" simplePos="0" relativeHeight="251660288" behindDoc="1" locked="0" layoutInCell="1" allowOverlap="1">
            <wp:simplePos x="0" y="0"/>
            <wp:positionH relativeFrom="column">
              <wp:posOffset>607695</wp:posOffset>
            </wp:positionH>
            <wp:positionV relativeFrom="paragraph">
              <wp:posOffset>247650</wp:posOffset>
            </wp:positionV>
            <wp:extent cx="2916555" cy="1894205"/>
            <wp:effectExtent l="0" t="0" r="17145" b="10795"/>
            <wp:wrapTight wrapText="bothSides">
              <wp:wrapPolygon>
                <wp:start x="0" y="0"/>
                <wp:lineTo x="0" y="21289"/>
                <wp:lineTo x="21445" y="21289"/>
                <wp:lineTo x="21445"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16555" cy="1894205"/>
                    </a:xfrm>
                    <a:prstGeom prst="rect">
                      <a:avLst/>
                    </a:prstGeom>
                  </pic:spPr>
                </pic:pic>
              </a:graphicData>
            </a:graphic>
          </wp:anchor>
        </w:drawing>
      </w:r>
      <w:r>
        <w:rPr>
          <w:rFonts w:hint="eastAsia"/>
          <w:lang w:val="en-US" w:eastAsia="zh-CN"/>
        </w:rPr>
        <w:t>1</w:t>
      </w:r>
      <w:r>
        <w:t>展示图2.30“智利瓦尔帕莱索城市景观”</w:t>
      </w:r>
    </w:p>
    <w:p w14:paraId="47C0B89C">
      <w:pPr>
        <w:pStyle w:val="18"/>
        <w:numPr>
          <w:ilvl w:val="0"/>
          <w:numId w:val="0"/>
        </w:numPr>
        <w:ind w:left="288" w:hanging="288"/>
      </w:pPr>
    </w:p>
    <w:p w14:paraId="6F43548B">
      <w:pPr>
        <w:pStyle w:val="18"/>
        <w:numPr>
          <w:numId w:val="0"/>
        </w:numPr>
        <w:ind w:left="432" w:leftChars="0"/>
      </w:pPr>
    </w:p>
    <w:p w14:paraId="1103D79A">
      <w:pPr>
        <w:pStyle w:val="18"/>
        <w:numPr>
          <w:numId w:val="0"/>
        </w:numPr>
        <w:ind w:left="432" w:leftChars="0"/>
      </w:pPr>
    </w:p>
    <w:p w14:paraId="2A636684">
      <w:pPr>
        <w:pStyle w:val="18"/>
        <w:numPr>
          <w:numId w:val="0"/>
        </w:numPr>
        <w:ind w:left="432" w:leftChars="0"/>
      </w:pPr>
    </w:p>
    <w:p w14:paraId="207988AF">
      <w:pPr>
        <w:pStyle w:val="18"/>
        <w:numPr>
          <w:numId w:val="0"/>
        </w:numPr>
        <w:ind w:left="432" w:leftChars="0"/>
      </w:pPr>
    </w:p>
    <w:p w14:paraId="0372AA3B">
      <w:pPr>
        <w:pStyle w:val="18"/>
        <w:numPr>
          <w:numId w:val="0"/>
        </w:numPr>
        <w:ind w:left="432" w:leftChars="0"/>
      </w:pPr>
    </w:p>
    <w:p w14:paraId="0EE8B376">
      <w:pPr>
        <w:pStyle w:val="18"/>
        <w:numPr>
          <w:numId w:val="0"/>
        </w:numPr>
        <w:ind w:left="432" w:leftChars="0"/>
      </w:pPr>
      <w:r>
        <w:t>提问：同学们，观察这张图片，你们能发现这个城市的建筑有什么特点吗？这些特点可能与当地的什么因素有关呢？</w:t>
      </w:r>
    </w:p>
    <w:p w14:paraId="59169180">
      <w:pPr>
        <w:pStyle w:val="4"/>
      </w:pPr>
      <w:r>
        <w:t>（二）新课讲授</w:t>
      </w:r>
    </w:p>
    <w:p w14:paraId="3F15C38A">
      <w:pPr>
        <w:pStyle w:val="5"/>
      </w:pPr>
      <w:r>
        <w:t>1. 地域文化</w:t>
      </w:r>
    </w:p>
    <w:p w14:paraId="7FA237CA">
      <w:pPr>
        <w:pStyle w:val="18"/>
        <w:numPr>
          <w:ilvl w:val="0"/>
          <w:numId w:val="1"/>
        </w:numPr>
      </w:pPr>
      <w:r>
        <w:t>讲解：文化如同空气，我们置身其中，须臾不能脱离。文化源于人类对自身和世界的感悟与认知。地域文化在特定的地域范围内形成，可以是物质方面的，如建筑、服饰、饮食等，也可以是非物质方面的，如价值观、制度、习俗、语言、艺术等。</w:t>
      </w:r>
    </w:p>
    <w:p w14:paraId="5B218813">
      <w:pPr>
        <w:pStyle w:val="18"/>
        <w:numPr>
          <w:ilvl w:val="0"/>
          <w:numId w:val="1"/>
        </w:numPr>
      </w:pPr>
      <w:r>
        <w:t>举例：</w:t>
      </w:r>
    </w:p>
    <w:p w14:paraId="22A8FB9D">
      <w:pPr>
        <w:pStyle w:val="18"/>
        <w:numPr>
          <w:ilvl w:val="1"/>
          <w:numId w:val="1"/>
        </w:numPr>
      </w:pPr>
      <w:r>
        <w:t>展示图2.31“地域文化造成了特色各异的城乡景观”中的上海外滩。</w:t>
      </w:r>
    </w:p>
    <w:p w14:paraId="5A317964">
      <w:pPr>
        <w:pStyle w:val="18"/>
        <w:numPr>
          <w:ilvl w:val="1"/>
          <w:numId w:val="1"/>
        </w:numPr>
      </w:pPr>
      <w:r>
        <w:drawing>
          <wp:inline distT="0" distB="0" distL="114300" distR="114300">
            <wp:extent cx="5029200" cy="1476375"/>
            <wp:effectExtent l="0" t="0" r="0" b="9525"/>
            <wp:docPr id="1" name="图片 1" descr="e01c878e712ebc3f0f074c9959b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1c878e712ebc3f0f074c9959b1649"/>
                    <pic:cNvPicPr>
                      <a:picLocks noChangeAspect="1"/>
                    </pic:cNvPicPr>
                  </pic:nvPicPr>
                  <pic:blipFill>
                    <a:blip r:embed="rId8"/>
                    <a:stretch>
                      <a:fillRect/>
                    </a:stretch>
                  </pic:blipFill>
                  <pic:spPr>
                    <a:xfrm>
                      <a:off x="0" y="0"/>
                      <a:ext cx="5029200" cy="1476375"/>
                    </a:xfrm>
                    <a:prstGeom prst="rect">
                      <a:avLst/>
                    </a:prstGeom>
                  </pic:spPr>
                </pic:pic>
              </a:graphicData>
            </a:graphic>
          </wp:inline>
        </w:drawing>
      </w:r>
    </w:p>
    <w:p w14:paraId="0502BC9D">
      <w:pPr>
        <w:pStyle w:val="18"/>
        <w:numPr>
          <w:ilvl w:val="1"/>
          <w:numId w:val="1"/>
        </w:numPr>
      </w:pPr>
      <w:r>
        <w:t>讲解：上海外滩，一条长约1500米的滨江大道，汇集了50多座风格各异的中西建筑，被称为“万国建筑博览”。这里是上海这座城市中西文化交融的见证。</w:t>
      </w:r>
    </w:p>
    <w:p w14:paraId="71EBE037">
      <w:pPr>
        <w:pStyle w:val="5"/>
      </w:pPr>
      <w:r>
        <w:t>2. 地域文化与乡村景观</w:t>
      </w:r>
    </w:p>
    <w:p w14:paraId="6EC8B653">
      <w:pPr>
        <w:pStyle w:val="18"/>
        <w:numPr>
          <w:ilvl w:val="0"/>
          <w:numId w:val="1"/>
        </w:numPr>
      </w:pPr>
      <w:r>
        <w:t>展示图2.32“红河哈尼梯田位置示意”和图2.33“红河哈尼梯田景观及剖面示意”。</w:t>
      </w:r>
    </w:p>
    <w:p w14:paraId="239FD92B">
      <w:pPr>
        <w:pStyle w:val="18"/>
        <w:numPr>
          <w:ilvl w:val="0"/>
          <w:numId w:val="1"/>
        </w:numPr>
      </w:pPr>
      <w:r>
        <w:drawing>
          <wp:inline distT="0" distB="0" distL="114300" distR="114300">
            <wp:extent cx="2057400" cy="2352675"/>
            <wp:effectExtent l="0" t="0" r="0" b="9525"/>
            <wp:docPr id="2" name="图片 2" descr="199a880fa70b3eebe61505836b02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9a880fa70b3eebe61505836b02c31"/>
                    <pic:cNvPicPr>
                      <a:picLocks noChangeAspect="1"/>
                    </pic:cNvPicPr>
                  </pic:nvPicPr>
                  <pic:blipFill>
                    <a:blip r:embed="rId9"/>
                    <a:stretch>
                      <a:fillRect/>
                    </a:stretch>
                  </pic:blipFill>
                  <pic:spPr>
                    <a:xfrm>
                      <a:off x="0" y="0"/>
                      <a:ext cx="2057400" cy="2352675"/>
                    </a:xfrm>
                    <a:prstGeom prst="rect">
                      <a:avLst/>
                    </a:prstGeom>
                  </pic:spPr>
                </pic:pic>
              </a:graphicData>
            </a:graphic>
          </wp:inline>
        </w:drawing>
      </w:r>
      <w:r>
        <w:drawing>
          <wp:inline distT="0" distB="0" distL="114300" distR="114300">
            <wp:extent cx="4514850" cy="1628775"/>
            <wp:effectExtent l="0" t="0" r="0" b="9525"/>
            <wp:docPr id="3" name="图片 3" descr="e08d25db24cd037f789c2b77b37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8d25db24cd037f789c2b77b371769"/>
                    <pic:cNvPicPr>
                      <a:picLocks noChangeAspect="1"/>
                    </pic:cNvPicPr>
                  </pic:nvPicPr>
                  <pic:blipFill>
                    <a:blip r:embed="rId10"/>
                    <a:stretch>
                      <a:fillRect/>
                    </a:stretch>
                  </pic:blipFill>
                  <pic:spPr>
                    <a:xfrm>
                      <a:off x="0" y="0"/>
                      <a:ext cx="4514850" cy="1628775"/>
                    </a:xfrm>
                    <a:prstGeom prst="rect">
                      <a:avLst/>
                    </a:prstGeom>
                  </pic:spPr>
                </pic:pic>
              </a:graphicData>
            </a:graphic>
          </wp:inline>
        </w:drawing>
      </w:r>
    </w:p>
    <w:p w14:paraId="40829B53">
      <w:pPr>
        <w:pStyle w:val="18"/>
        <w:numPr>
          <w:ilvl w:val="0"/>
          <w:numId w:val="1"/>
        </w:numPr>
      </w:pPr>
      <w:r>
        <w:t>讲解：</w:t>
      </w:r>
    </w:p>
    <w:p w14:paraId="098CF5D0">
      <w:pPr>
        <w:pStyle w:val="18"/>
        <w:numPr>
          <w:ilvl w:val="1"/>
          <w:numId w:val="1"/>
        </w:numPr>
      </w:pPr>
      <w:r>
        <w:rPr>
          <w:b/>
          <w:bCs/>
        </w:rPr>
        <w:t>景观结构特征</w:t>
      </w:r>
      <w:r>
        <w:t>：红河哈尼梯田位于云南省东南部，地处横断山区。层层水田映照着蓝天白云，宛如一幅幅油画。其景观结构特征表现为依山而建的梯田，形成了从山顶到山脚的完整灌溉系统，包括森林、村寨、梯田、河流等要素。</w:t>
      </w:r>
    </w:p>
    <w:p w14:paraId="3C8688FD">
      <w:pPr>
        <w:pStyle w:val="18"/>
        <w:numPr>
          <w:ilvl w:val="1"/>
          <w:numId w:val="1"/>
        </w:numPr>
      </w:pPr>
      <w:r>
        <w:rPr>
          <w:b/>
          <w:bCs/>
        </w:rPr>
        <w:t>与文化的关系</w:t>
      </w:r>
      <w:r>
        <w:t>：一千多年前，生活在这里的哈尼族等民族就开辟了梯田，种植水稻。哈尼族的文化中蕴含着对自然的崇拜和顺应自然的智慧，他们通过长期实践摸索，发现森林是涵养水源的宝库，保证山上的森林面积足够大，水源才能常年不枯，于是民间规定特定范围的森林不得砍伐。这种文化理念塑造了哈尼梯田独特的景观。</w:t>
      </w:r>
    </w:p>
    <w:p w14:paraId="275D1B47">
      <w:pPr>
        <w:pStyle w:val="18"/>
        <w:numPr>
          <w:ilvl w:val="1"/>
          <w:numId w:val="1"/>
        </w:numPr>
      </w:pPr>
      <w:r>
        <w:rPr>
          <w:b/>
          <w:bCs/>
        </w:rPr>
        <w:t>与自然环境的关系</w:t>
      </w:r>
      <w:r>
        <w:t>：这里处于季风气候区，年降水量不稳定，季节分配也不均匀。为了缓解用水矛盾，村民修筑了沟渠，连接各家的梯田。每个村都选出一位正直公正、责任心强的人来担任分水官，负责分配每一田块的用水量。这表明当地的自然环境促使村民形成了特定的用水文化和景观。</w:t>
      </w:r>
    </w:p>
    <w:p w14:paraId="489ED142">
      <w:pPr>
        <w:pStyle w:val="18"/>
        <w:numPr>
          <w:ilvl w:val="0"/>
          <w:numId w:val="1"/>
        </w:numPr>
      </w:pPr>
      <w:r>
        <w:t>展示图2.34“福建永定土楼”。</w:t>
      </w:r>
    </w:p>
    <w:p w14:paraId="6D40D55C">
      <w:pPr>
        <w:pStyle w:val="18"/>
        <w:numPr>
          <w:ilvl w:val="0"/>
          <w:numId w:val="1"/>
        </w:numPr>
      </w:pPr>
      <w:r>
        <w:drawing>
          <wp:inline distT="0" distB="0" distL="114300" distR="114300">
            <wp:extent cx="4857750" cy="2590800"/>
            <wp:effectExtent l="0" t="0" r="0" b="0"/>
            <wp:docPr id="4" name="图片 4" descr="573cf8a2beef8d9b59271f257df6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73cf8a2beef8d9b59271f257df61b8"/>
                    <pic:cNvPicPr>
                      <a:picLocks noChangeAspect="1"/>
                    </pic:cNvPicPr>
                  </pic:nvPicPr>
                  <pic:blipFill>
                    <a:blip r:embed="rId11"/>
                    <a:stretch>
                      <a:fillRect/>
                    </a:stretch>
                  </pic:blipFill>
                  <pic:spPr>
                    <a:xfrm>
                      <a:off x="0" y="0"/>
                      <a:ext cx="4857750" cy="2590800"/>
                    </a:xfrm>
                    <a:prstGeom prst="rect">
                      <a:avLst/>
                    </a:prstGeom>
                  </pic:spPr>
                </pic:pic>
              </a:graphicData>
            </a:graphic>
          </wp:inline>
        </w:drawing>
      </w:r>
    </w:p>
    <w:p w14:paraId="6B0E9F09">
      <w:pPr>
        <w:pStyle w:val="18"/>
        <w:numPr>
          <w:ilvl w:val="0"/>
          <w:numId w:val="1"/>
        </w:numPr>
      </w:pPr>
      <w:r>
        <w:t>讲解：</w:t>
      </w:r>
    </w:p>
    <w:p w14:paraId="7AA883B2">
      <w:pPr>
        <w:pStyle w:val="18"/>
        <w:numPr>
          <w:ilvl w:val="1"/>
          <w:numId w:val="1"/>
        </w:numPr>
      </w:pPr>
      <w:r>
        <w:rPr>
          <w:b/>
          <w:bCs/>
        </w:rPr>
        <w:t>景观结构特征</w:t>
      </w:r>
      <w:r>
        <w:t>：福建永定土楼是大型民居建筑，以圆楼和方楼最常见，内部结构复杂，可住多人。</w:t>
      </w:r>
    </w:p>
    <w:p w14:paraId="4953C3BF">
      <w:pPr>
        <w:pStyle w:val="18"/>
        <w:numPr>
          <w:ilvl w:val="1"/>
          <w:numId w:val="1"/>
        </w:numPr>
      </w:pPr>
      <w:r>
        <w:rPr>
          <w:b/>
          <w:bCs/>
        </w:rPr>
        <w:t>与文化的关系</w:t>
      </w:r>
      <w:r>
        <w:t>：这种建筑形式体现了客家人聚族而居的生活和共御外敌的要求，体现了御外凝内的集体精神。土楼的建筑风格反映了客家人的家族文化和防御文化。</w:t>
      </w:r>
    </w:p>
    <w:p w14:paraId="487CF038">
      <w:pPr>
        <w:pStyle w:val="18"/>
        <w:numPr>
          <w:ilvl w:val="1"/>
          <w:numId w:val="1"/>
        </w:numPr>
      </w:pPr>
      <w:r>
        <w:rPr>
          <w:b/>
          <w:bCs/>
        </w:rPr>
        <w:t>与自然环境的关系</w:t>
      </w:r>
      <w:r>
        <w:t>：永定地区可能存在一定的安全隐患，如匪患等，同时当地的自然环境适合就地取材建造土楼，从而形成了这种独特的乡村景观。</w:t>
      </w:r>
    </w:p>
    <w:p w14:paraId="03B4FA26">
      <w:pPr>
        <w:pStyle w:val="5"/>
      </w:pPr>
      <w:r>
        <w:t>3. 地域文化与城镇景观</w:t>
      </w:r>
    </w:p>
    <w:p w14:paraId="6CBC5A48">
      <w:pPr>
        <w:pStyle w:val="18"/>
        <w:numPr>
          <w:ilvl w:val="0"/>
          <w:numId w:val="1"/>
        </w:numPr>
      </w:pPr>
      <w:r>
        <w:t>展示图2.38“意大利佛罗伦萨景观”。</w:t>
      </w:r>
    </w:p>
    <w:p w14:paraId="322D9138">
      <w:pPr>
        <w:pStyle w:val="18"/>
        <w:numPr>
          <w:ilvl w:val="0"/>
          <w:numId w:val="1"/>
        </w:numPr>
      </w:pPr>
      <w:r>
        <w:t>讲解：</w:t>
      </w:r>
    </w:p>
    <w:p w14:paraId="4AF4CACF">
      <w:pPr>
        <w:pStyle w:val="18"/>
        <w:numPr>
          <w:ilvl w:val="1"/>
          <w:numId w:val="1"/>
        </w:numPr>
      </w:pPr>
      <w:r>
        <w:rPr>
          <w:b/>
          <w:bCs/>
        </w:rPr>
        <w:t>景观结构特征</w:t>
      </w:r>
      <w:r>
        <w:t>：意大利佛罗伦萨有着独特的城市景观，建筑风格多为文艺复兴时期的风格，色彩柔和，建筑多有精美的雕刻和装饰，城市中有许多广场、教堂等公共建筑。</w:t>
      </w:r>
    </w:p>
    <w:p w14:paraId="6B71F050">
      <w:pPr>
        <w:pStyle w:val="18"/>
        <w:numPr>
          <w:ilvl w:val="1"/>
          <w:numId w:val="1"/>
        </w:numPr>
      </w:pPr>
      <w:r>
        <w:rPr>
          <w:b/>
          <w:bCs/>
        </w:rPr>
        <w:t>与文化的关系</w:t>
      </w:r>
      <w:r>
        <w:t>：佛罗伦萨是文艺复兴的发源地，其城镇景观深受文艺复兴文化的影响。文艺复兴时期对艺术、建筑、科学等的追求，体现在城市建筑的设计、装饰上，众多的艺术作品和建筑都是当时文化繁荣的见证。</w:t>
      </w:r>
    </w:p>
    <w:p w14:paraId="75E88AA7">
      <w:pPr>
        <w:pStyle w:val="18"/>
        <w:numPr>
          <w:ilvl w:val="1"/>
          <w:numId w:val="1"/>
        </w:numPr>
      </w:pPr>
      <w:r>
        <w:rPr>
          <w:b/>
          <w:bCs/>
        </w:rPr>
        <w:t>与自然环境的关系</w:t>
      </w:r>
      <w:r>
        <w:t>：当地的自然环境为建筑材料的获取提供了条件，同时城市的布局和建筑风格也考虑到了当地的气候等自然因素，形成了舒适且美观的城镇景观。</w:t>
      </w:r>
    </w:p>
    <w:p w14:paraId="7D95ED05">
      <w:pPr>
        <w:pStyle w:val="18"/>
        <w:numPr>
          <w:ilvl w:val="0"/>
          <w:numId w:val="1"/>
        </w:numPr>
      </w:pPr>
      <w:r>
        <w:t>展示图2.39“北京老城的四合院”。</w:t>
      </w:r>
    </w:p>
    <w:p w14:paraId="63D396A4">
      <w:pPr>
        <w:pStyle w:val="18"/>
        <w:numPr>
          <w:ilvl w:val="0"/>
          <w:numId w:val="1"/>
        </w:numPr>
      </w:pPr>
      <w:r>
        <w:drawing>
          <wp:inline distT="0" distB="0" distL="114300" distR="114300">
            <wp:extent cx="4781550" cy="2790825"/>
            <wp:effectExtent l="0" t="0" r="0" b="9525"/>
            <wp:docPr id="5" name="图片 5" descr="ab8e5d281b7650527b0578a6cb9b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b8e5d281b7650527b0578a6cb9b386"/>
                    <pic:cNvPicPr>
                      <a:picLocks noChangeAspect="1"/>
                    </pic:cNvPicPr>
                  </pic:nvPicPr>
                  <pic:blipFill>
                    <a:blip r:embed="rId12"/>
                    <a:stretch>
                      <a:fillRect/>
                    </a:stretch>
                  </pic:blipFill>
                  <pic:spPr>
                    <a:xfrm>
                      <a:off x="0" y="0"/>
                      <a:ext cx="4781550" cy="2790825"/>
                    </a:xfrm>
                    <a:prstGeom prst="rect">
                      <a:avLst/>
                    </a:prstGeom>
                  </pic:spPr>
                </pic:pic>
              </a:graphicData>
            </a:graphic>
          </wp:inline>
        </w:drawing>
      </w:r>
    </w:p>
    <w:p w14:paraId="7341CF36">
      <w:pPr>
        <w:pStyle w:val="18"/>
        <w:numPr>
          <w:ilvl w:val="0"/>
          <w:numId w:val="1"/>
        </w:numPr>
      </w:pPr>
      <w:r>
        <w:t>讲解：</w:t>
      </w:r>
    </w:p>
    <w:p w14:paraId="30EA1D14">
      <w:pPr>
        <w:pStyle w:val="18"/>
        <w:numPr>
          <w:ilvl w:val="1"/>
          <w:numId w:val="1"/>
        </w:numPr>
      </w:pPr>
      <w:r>
        <w:rPr>
          <w:b/>
          <w:bCs/>
        </w:rPr>
        <w:t>景观结构特征</w:t>
      </w:r>
      <w:r>
        <w:t>：四合院是北京老城的典型建筑形式，一般由正房、东西厢房和倒座房围合中间庭院而成，庭院方方正正，对外相对封闭。</w:t>
      </w:r>
    </w:p>
    <w:p w14:paraId="26CD99BF">
      <w:pPr>
        <w:pStyle w:val="18"/>
        <w:numPr>
          <w:ilvl w:val="1"/>
          <w:numId w:val="1"/>
        </w:numPr>
      </w:pPr>
      <w:r>
        <w:rPr>
          <w:b/>
          <w:bCs/>
        </w:rPr>
        <w:t>与文化的关系</w:t>
      </w:r>
      <w:r>
        <w:t>：四合院体现了中国传统的家族文化和礼仪制度。长辈住正房，晚辈住厢房，反映了长幼有序的家庭观念。建筑布局遵循严格的中轴对称，体现了中国传统文化中的对称美和秩序感。</w:t>
      </w:r>
    </w:p>
    <w:p w14:paraId="32971D38">
      <w:pPr>
        <w:pStyle w:val="18"/>
        <w:numPr>
          <w:ilvl w:val="1"/>
          <w:numId w:val="1"/>
        </w:numPr>
      </w:pPr>
      <w:r>
        <w:rPr>
          <w:b/>
          <w:bCs/>
        </w:rPr>
        <w:t>与自然环境的关系</w:t>
      </w:r>
      <w:r>
        <w:t>：四合院的设计考虑了北京的气候特点，庭院有利于采光和通风，冬季可以抵御寒冷的西北风，夏季可以形成穿堂风，达到纳凉的效果。</w:t>
      </w:r>
    </w:p>
    <w:p w14:paraId="7FFD30FC">
      <w:pPr>
        <w:pStyle w:val="18"/>
        <w:numPr>
          <w:ilvl w:val="0"/>
          <w:numId w:val="0"/>
        </w:numPr>
        <w:ind w:left="288" w:hanging="288"/>
      </w:pPr>
      <w:bookmarkStart w:id="0" w:name="_GoBack"/>
      <w:bookmarkEnd w:id="0"/>
    </w:p>
    <w:sectPr>
      <w:headerReference r:id="rId3" w:type="default"/>
      <w:footerReference r:id="rId4" w:type="default"/>
      <w:pgSz w:w="11906" w:h="16838"/>
      <w:pgMar w:top="1440" w:right="1440" w:bottom="1440" w:left="1440" w:header="851"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68ED0">
    <w:pPr>
      <w:tabs>
        <w:tab w:val="center" w:pos="4153"/>
        <w:tab w:val="right" w:pos="8306"/>
      </w:tabs>
      <w:snapToGrid w:val="0"/>
      <w:jc w:val="left"/>
      <w:rPr>
        <w:rFonts w:ascii="Times New Roman" w:hAnsi="Times New Roman" w:eastAsia="宋体" w:cs="Times New Roman"/>
        <w:sz w:val="2"/>
        <w:szCs w:val="2"/>
        <w:lang w:eastAsia="zh-CN"/>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sz w:val="2"/>
        <w:szCs w:val="2"/>
        <w:lang w:eastAsia="zh-CN"/>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13A14">
    <w:pPr>
      <w:pBdr>
        <w:bottom w:val="none" w:color="auto" w:sz="0" w:space="1"/>
      </w:pBdr>
      <w:snapToGrid w:val="0"/>
      <w:rPr>
        <w:rFonts w:ascii="Times New Roman" w:hAnsi="Times New Roman" w:eastAsia="宋体" w:cs="Times New Roman"/>
        <w:sz w:val="2"/>
        <w:szCs w:val="2"/>
        <w:lang w:eastAsia="zh-CN"/>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ADCABA"/>
    <w:multiLevelType w:val="multilevel"/>
    <w:tmpl w:val="59ADCABA"/>
    <w:lvl w:ilvl="0" w:tentative="0">
      <w:start w:val="1"/>
      <w:numFmt w:val="bullet"/>
      <w:lvlText w:val="•"/>
      <w:lvlJc w:val="left"/>
      <w:pPr>
        <w:ind w:left="288" w:hanging="288"/>
      </w:pPr>
      <w:rPr>
        <w:color w:val="3370FF"/>
        <w:sz w:val="22"/>
        <w:szCs w:val="22"/>
      </w:rPr>
    </w:lvl>
    <w:lvl w:ilvl="1" w:tentative="0">
      <w:start w:val="1"/>
      <w:numFmt w:val="bullet"/>
      <w:lvlText w:val="◦"/>
      <w:lvlJc w:val="left"/>
      <w:pPr>
        <w:ind w:left="720" w:hanging="288"/>
      </w:pPr>
      <w:rPr>
        <w:color w:val="3370FF"/>
        <w:sz w:val="22"/>
        <w:szCs w:val="22"/>
      </w:rPr>
    </w:lvl>
    <w:lvl w:ilvl="2" w:tentative="0">
      <w:start w:val="1"/>
      <w:numFmt w:val="bullet"/>
      <w:lvlText w:val="▪"/>
      <w:lvlJc w:val="left"/>
      <w:pPr>
        <w:ind w:left="1152" w:hanging="288"/>
      </w:pPr>
      <w:rPr>
        <w:color w:val="3370FF"/>
        <w:sz w:val="22"/>
        <w:szCs w:val="22"/>
      </w:rPr>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612AEC"/>
    <w:rsid w:val="00C02FC6"/>
    <w:rsid w:val="4F153326"/>
    <w:rsid w:val="53E41A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en-US" w:bidi="ar-SA"/>
    </w:rPr>
  </w:style>
  <w:style w:type="paragraph" w:styleId="2">
    <w:name w:val="heading 1"/>
    <w:next w:val="1"/>
    <w:qFormat/>
    <w:uiPriority w:val="0"/>
    <w:pPr>
      <w:spacing w:before="380" w:after="140" w:line="288" w:lineRule="auto"/>
      <w:ind w:left="0"/>
      <w:jc w:val="left"/>
      <w:outlineLvl w:val="0"/>
    </w:pPr>
    <w:rPr>
      <w:rFonts w:ascii="Arial" w:hAnsi="Arial" w:eastAsia="等线" w:cs="Arial"/>
      <w:b/>
      <w:bCs/>
      <w:sz w:val="36"/>
      <w:szCs w:val="36"/>
      <w:lang w:val="en-US" w:eastAsia="en-US" w:bidi="ar-SA"/>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lang w:val="en-US" w:eastAsia="en-US" w:bidi="ar-SA"/>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lang w:val="en-US" w:eastAsia="en-US" w:bidi="ar-SA"/>
    </w:rPr>
  </w:style>
  <w:style w:type="paragraph" w:styleId="5">
    <w:name w:val="heading 4"/>
    <w:next w:val="1"/>
    <w:qFormat/>
    <w:uiPriority w:val="0"/>
    <w:pPr>
      <w:spacing w:before="260" w:after="120" w:line="288" w:lineRule="auto"/>
      <w:ind w:left="0"/>
      <w:jc w:val="left"/>
      <w:outlineLvl w:val="3"/>
    </w:pPr>
    <w:rPr>
      <w:rFonts w:ascii="Arial" w:hAnsi="Arial" w:eastAsia="等线" w:cs="Arial"/>
      <w:b/>
      <w:bCs/>
      <w:sz w:val="28"/>
      <w:szCs w:val="28"/>
      <w:lang w:val="en-US" w:eastAsia="en-US" w:bidi="ar-SA"/>
    </w:rPr>
  </w:style>
  <w:style w:type="paragraph" w:styleId="6">
    <w:name w:val="heading 5"/>
    <w:next w:val="1"/>
    <w:qFormat/>
    <w:uiPriority w:val="0"/>
    <w:pPr>
      <w:spacing w:before="240" w:after="120" w:line="288" w:lineRule="auto"/>
      <w:ind w:left="0"/>
      <w:jc w:val="left"/>
      <w:outlineLvl w:val="4"/>
    </w:pPr>
    <w:rPr>
      <w:rFonts w:ascii="Arial" w:hAnsi="Arial" w:eastAsia="等线" w:cs="Arial"/>
      <w:b/>
      <w:bCs/>
      <w:sz w:val="24"/>
      <w:szCs w:val="24"/>
      <w:lang w:val="en-US" w:eastAsia="en-US" w:bidi="ar-SA"/>
    </w:rPr>
  </w:style>
  <w:style w:type="paragraph" w:styleId="7">
    <w:name w:val="heading 6"/>
    <w:next w:val="1"/>
    <w:qFormat/>
    <w:uiPriority w:val="0"/>
    <w:pPr>
      <w:spacing w:before="240" w:after="120" w:line="288" w:lineRule="auto"/>
      <w:ind w:left="0"/>
      <w:jc w:val="left"/>
      <w:outlineLvl w:val="5"/>
    </w:pPr>
    <w:rPr>
      <w:rFonts w:ascii="Arial" w:hAnsi="Arial" w:eastAsia="等线" w:cs="Arial"/>
      <w:b/>
      <w:bCs/>
      <w:sz w:val="24"/>
      <w:szCs w:val="24"/>
      <w:lang w:val="en-US" w:eastAsia="en-US" w:bidi="ar-SA"/>
    </w:rPr>
  </w:style>
  <w:style w:type="character" w:default="1" w:styleId="13">
    <w:name w:val="Default Paragraph Font"/>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8">
    <w:name w:val="footer"/>
    <w:basedOn w:val="1"/>
    <w:link w:val="21"/>
    <w:unhideWhenUsed/>
    <w:uiPriority w:val="99"/>
    <w:pPr>
      <w:tabs>
        <w:tab w:val="center" w:pos="4153"/>
        <w:tab w:val="right" w:pos="8306"/>
      </w:tabs>
      <w:snapToGrid w:val="0"/>
      <w:jc w:val="left"/>
    </w:pPr>
    <w:rPr>
      <w:rFonts w:ascii="Times New Roman" w:hAnsi="Times New Roman" w:eastAsia="宋体" w:cs="Times New Roman"/>
      <w:sz w:val="18"/>
      <w:szCs w:val="18"/>
      <w:lang w:eastAsia="zh-CN"/>
    </w:rPr>
  </w:style>
  <w:style w:type="paragraph" w:styleId="9">
    <w:name w:val="header"/>
    <w:basedOn w:val="1"/>
    <w:link w:val="20"/>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eastAsia="zh-CN"/>
    </w:rPr>
  </w:style>
  <w:style w:type="paragraph" w:styleId="10">
    <w:name w:val="footnote text"/>
    <w:link w:val="17"/>
    <w:semiHidden/>
    <w:unhideWhenUsed/>
    <w:qFormat/>
    <w:uiPriority w:val="99"/>
    <w:pPr>
      <w:spacing w:after="0" w:line="240" w:lineRule="auto"/>
    </w:pPr>
    <w:rPr>
      <w:rFonts w:asciiTheme="minorHAnsi" w:hAnsiTheme="minorHAnsi" w:eastAsiaTheme="minorEastAsia" w:cstheme="minorBidi"/>
      <w:sz w:val="20"/>
      <w:szCs w:val="20"/>
      <w:lang w:val="en-US" w:eastAsia="en-US" w:bidi="ar-SA"/>
    </w:rPr>
  </w:style>
  <w:style w:type="paragraph" w:styleId="11">
    <w:name w:val="Title"/>
    <w:qFormat/>
    <w:uiPriority w:val="0"/>
    <w:pPr>
      <w:spacing w:before="480" w:after="480" w:line="288" w:lineRule="auto"/>
      <w:ind w:left="0"/>
    </w:pPr>
    <w:rPr>
      <w:rFonts w:ascii="Arial" w:hAnsi="Arial" w:eastAsia="等线" w:cs="Arial"/>
      <w:b/>
      <w:bCs/>
      <w:sz w:val="52"/>
      <w:szCs w:val="52"/>
      <w:lang w:val="en-US" w:eastAsia="en-US" w:bidi="ar-SA"/>
    </w:rPr>
  </w:style>
  <w:style w:type="character" w:styleId="14">
    <w:name w:val="Hyperlink"/>
    <w:unhideWhenUsed/>
    <w:qFormat/>
    <w:uiPriority w:val="99"/>
    <w:rPr>
      <w:color w:val="0563C1"/>
      <w:u w:val="single"/>
    </w:rPr>
  </w:style>
  <w:style w:type="character" w:styleId="15">
    <w:name w:val="footnote reference"/>
    <w:semiHidden/>
    <w:unhideWhenUsed/>
    <w:qFormat/>
    <w:uiPriority w:val="99"/>
    <w:rPr>
      <w:vertAlign w:val="superscript"/>
    </w:rPr>
  </w:style>
  <w:style w:type="paragraph" w:styleId="16">
    <w:name w:val="List Paragraph"/>
    <w:qFormat/>
    <w:uiPriority w:val="0"/>
    <w:rPr>
      <w:rFonts w:asciiTheme="minorHAnsi" w:hAnsiTheme="minorHAnsi" w:eastAsiaTheme="minorEastAsia" w:cstheme="minorBidi"/>
      <w:sz w:val="21"/>
      <w:szCs w:val="22"/>
      <w:lang w:val="en-US" w:eastAsia="en-US" w:bidi="ar-SA"/>
    </w:rPr>
  </w:style>
  <w:style w:type="character" w:customStyle="1" w:styleId="17">
    <w:name w:val="Footnote Text Char"/>
    <w:link w:val="10"/>
    <w:semiHidden/>
    <w:unhideWhenUsed/>
    <w:qFormat/>
    <w:uiPriority w:val="99"/>
    <w:rPr>
      <w:sz w:val="20"/>
      <w:szCs w:val="20"/>
    </w:rPr>
  </w:style>
  <w:style w:type="paragraph" w:customStyle="1" w:styleId="18">
    <w:name w:val="_Style 13"/>
    <w:qFormat/>
    <w:uiPriority w:val="0"/>
    <w:pPr>
      <w:spacing w:before="120" w:after="120" w:line="288" w:lineRule="auto"/>
      <w:ind w:left="0"/>
      <w:jc w:val="left"/>
    </w:pPr>
    <w:rPr>
      <w:rFonts w:ascii="Arial" w:hAnsi="Arial" w:eastAsia="等线" w:cs="Arial"/>
      <w:sz w:val="22"/>
      <w:szCs w:val="22"/>
      <w:lang w:val="en-US" w:eastAsia="en-US" w:bidi="ar-SA"/>
    </w:rPr>
  </w:style>
  <w:style w:type="paragraph" w:customStyle="1" w:styleId="19">
    <w:name w:val="_Style 14"/>
    <w:qFormat/>
    <w:uiPriority w:val="0"/>
    <w:pPr>
      <w:spacing w:before="120" w:after="120" w:line="288" w:lineRule="auto"/>
      <w:ind w:left="0"/>
      <w:jc w:val="left"/>
    </w:pPr>
    <w:rPr>
      <w:rFonts w:ascii="Arial" w:hAnsi="Arial" w:eastAsia="等线" w:cs="Arial"/>
      <w:color w:val="8F959E"/>
      <w:sz w:val="22"/>
      <w:szCs w:val="22"/>
      <w:lang w:val="en-US" w:eastAsia="en-US" w:bidi="ar-SA"/>
    </w:rPr>
  </w:style>
  <w:style w:type="character" w:customStyle="1" w:styleId="20">
    <w:name w:val="页眉 Char"/>
    <w:link w:val="9"/>
    <w:semiHidden/>
    <w:uiPriority w:val="99"/>
    <w:rPr>
      <w:rFonts w:ascii="Times New Roman" w:hAnsi="Times New Roman" w:eastAsia="宋体" w:cs="Times New Roman"/>
      <w:sz w:val="18"/>
      <w:szCs w:val="18"/>
      <w:lang w:eastAsia="zh-CN"/>
    </w:rPr>
  </w:style>
  <w:style w:type="character" w:customStyle="1" w:styleId="21">
    <w:name w:val="页脚 Char"/>
    <w:link w:val="8"/>
    <w:semiHidden/>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2082</Words>
  <Characters>2123</Characters>
  <Lines>0</Lines>
  <Paragraphs>0</Paragraphs>
  <TotalTime>2</TotalTime>
  <ScaleCrop>false</ScaleCrop>
  <LinksUpToDate>false</LinksUpToDate>
  <CharactersWithSpaces>2126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2024-12-29T05:17:00Z</dcterms:created>
  <dc:creator>Un-named</dc:creator>
  <cp:lastModifiedBy>未雨绸缪</cp:lastModifiedBy>
  <dcterms:modified xsi:type="dcterms:W3CDTF">2025-02-08T09:55:42Z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eyJoZGlkIjoiY2QzOWMyNjU5MjkyMjIyYTMzNTI4NWE5ZmUyNzUzNjMiLCJ1c2VySWQiOiI0MzczNTcwNzkifQ==</vt:lpwstr>
  </property>
  <property fmtid="{D5CDD505-2E9C-101B-9397-08002B2CF9AE}" pid="7" name="KSOProductBuildVer">
    <vt:lpwstr>2052-12.1.0.19770</vt:lpwstr>
  </property>
  <property fmtid="{D5CDD505-2E9C-101B-9397-08002B2CF9AE}" pid="8" name="ICV">
    <vt:lpwstr>7B0CA475EBD24A8B925318B1ABE3B21F_13</vt:lpwstr>
  </property>
</Properties>
</file>