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B4088"/>
    <w:p w14:paraId="56380B6E"/>
    <w:p w14:paraId="71B8B3A8"/>
    <w:p w14:paraId="200D6D0D"/>
    <w:p w14:paraId="31D45191">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EB9A0A9">
      <w:pPr>
        <w:wordWrap w:val="0"/>
        <w:jc w:val="right"/>
        <w:rPr>
          <w:rFonts w:hint="default" w:ascii="方正小标宋简体" w:eastAsia="方正小标宋简体"/>
          <w:sz w:val="28"/>
          <w:szCs w:val="44"/>
          <w:lang w:val="en-US" w:eastAsia="zh-CN"/>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2025.2</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54435D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728B2C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5AFB053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785FCC3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78AFB066">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14:paraId="2D590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0CCB54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98CCA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资源安全与国家安全</w:t>
            </w:r>
          </w:p>
        </w:tc>
        <w:tc>
          <w:tcPr>
            <w:tcW w:w="1559" w:type="dxa"/>
            <w:gridSpan w:val="2"/>
            <w:shd w:val="clear" w:color="auto" w:fill="auto"/>
            <w:noWrap/>
            <w:vAlign w:val="center"/>
          </w:tcPr>
          <w:p w14:paraId="0DDAC25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13EF9EE">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7DC31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EFBC22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4AD64BF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苟怡</w:t>
            </w:r>
          </w:p>
        </w:tc>
        <w:tc>
          <w:tcPr>
            <w:tcW w:w="1559" w:type="dxa"/>
            <w:gridSpan w:val="2"/>
            <w:shd w:val="clear" w:color="auto" w:fill="auto"/>
            <w:noWrap/>
            <w:vAlign w:val="center"/>
          </w:tcPr>
          <w:p w14:paraId="748BED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5B9EF07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6B597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17AC7A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6974AFE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EB3E7D6">
            <w:pPr>
              <w:widowControl/>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从身边坐骑，小事做起，珍惜自然资源，减少铺张浪费，提出并践行合理利用资源的方式。</w:t>
            </w:r>
          </w:p>
        </w:tc>
      </w:tr>
      <w:tr w14:paraId="19248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4825CE4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EAB563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11C224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2"/>
                <w:lang w:val="en-US" w:eastAsia="zh-CN"/>
              </w:rPr>
              <w:t>结合实例，说明自然资源的数量、质量、空间分布与人类活动的关系</w:t>
            </w:r>
          </w:p>
        </w:tc>
      </w:tr>
      <w:tr w14:paraId="5ED749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8EF2BF0">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AE7F37C">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2"/>
                <w:lang w:val="en-US" w:eastAsia="zh-CN"/>
              </w:rPr>
              <w:t>以镍矿资源为例，分析其分布特点及开发利用现状</w:t>
            </w:r>
          </w:p>
        </w:tc>
      </w:tr>
      <w:tr w14:paraId="3B106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0B2177E">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CCC902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2"/>
                <w:lang w:val="en-US" w:eastAsia="zh-CN"/>
              </w:rPr>
              <w:t>以金昌市为例，分析资源枯竭型城市的发展方向</w:t>
            </w:r>
          </w:p>
        </w:tc>
      </w:tr>
      <w:tr w14:paraId="4A684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04BCE2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324080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0E81E41">
            <w:pPr>
              <w:widowControl/>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自然资源开发与区域发展</w:t>
            </w:r>
          </w:p>
        </w:tc>
        <w:tc>
          <w:tcPr>
            <w:tcW w:w="1559" w:type="dxa"/>
            <w:gridSpan w:val="2"/>
            <w:shd w:val="clear" w:color="auto" w:fill="auto"/>
            <w:vAlign w:val="center"/>
          </w:tcPr>
          <w:p w14:paraId="6AC5A0F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C25CA67">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5EF9EEBC">
            <w:pPr>
              <w:widowControl/>
              <w:jc w:val="center"/>
              <w:rPr>
                <w:rFonts w:hint="default"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2"/>
                <w:lang w:val="en-US" w:eastAsia="zh-CN"/>
              </w:rPr>
              <w:t>自然资源开发与区域发展、资源安全与国家安全</w:t>
            </w:r>
          </w:p>
        </w:tc>
      </w:tr>
      <w:tr w14:paraId="51F5A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32D82A3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4E710E5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7957F22E">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color w:val="000000"/>
                <w:kern w:val="0"/>
                <w:sz w:val="22"/>
                <w:lang w:val="en-US" w:eastAsia="zh-CN"/>
              </w:rPr>
              <w:t>自然资源开发与区域发展、资源安全与国家安全</w:t>
            </w:r>
          </w:p>
        </w:tc>
      </w:tr>
      <w:tr w14:paraId="755AA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EACC99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25289B4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18C16C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宋体" w:asciiTheme="minorEastAsia" w:hAnsiTheme="minorEastAsia"/>
                <w:bCs/>
                <w:color w:val="000000"/>
                <w:kern w:val="0"/>
                <w:sz w:val="22"/>
                <w:lang w:val="en-US" w:eastAsia="zh-CN"/>
              </w:rPr>
              <w:t>结合实例，说明自然资源的数量、质量、空间分布与人类活动的关系</w:t>
            </w:r>
          </w:p>
        </w:tc>
      </w:tr>
      <w:tr w14:paraId="6C63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DECC33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32B562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2"/>
                <w:lang w:val="en-US" w:eastAsia="zh-CN"/>
              </w:rPr>
              <w:t>以镍矿资源为例，分析其分布特点及开发利用现状</w:t>
            </w:r>
          </w:p>
        </w:tc>
      </w:tr>
      <w:tr w14:paraId="50864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0C598F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11A9AA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宋体" w:asciiTheme="minorEastAsia" w:hAnsiTheme="minorEastAsia"/>
                <w:bCs/>
                <w:color w:val="000000"/>
                <w:kern w:val="0"/>
                <w:sz w:val="22"/>
                <w:lang w:val="en-US" w:eastAsia="zh-CN"/>
              </w:rPr>
              <w:t>以金昌市为例，分析资源枯竭型城市的发展方向</w:t>
            </w:r>
          </w:p>
        </w:tc>
      </w:tr>
      <w:tr w14:paraId="4C4CB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35A18380">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E66C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8DC9185">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2775CBF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6A12B48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43CCCC0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01466D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7D20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534" w:type="dxa"/>
            <w:shd w:val="clear" w:color="auto" w:fill="auto"/>
            <w:noWrap/>
            <w:vAlign w:val="center"/>
          </w:tcPr>
          <w:p w14:paraId="7832CC9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6509D13C">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考情、考况分析</w:t>
            </w:r>
          </w:p>
        </w:tc>
        <w:tc>
          <w:tcPr>
            <w:tcW w:w="2330" w:type="dxa"/>
            <w:gridSpan w:val="2"/>
            <w:shd w:val="clear" w:color="auto" w:fill="auto"/>
            <w:noWrap/>
            <w:vAlign w:val="center"/>
          </w:tcPr>
          <w:p w14:paraId="43761425">
            <w:pPr>
              <w:widowControl/>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展示近几年高考考情、考况，提取考点</w:t>
            </w:r>
          </w:p>
        </w:tc>
        <w:tc>
          <w:tcPr>
            <w:tcW w:w="2330" w:type="dxa"/>
            <w:gridSpan w:val="2"/>
            <w:shd w:val="clear" w:color="auto" w:fill="auto"/>
            <w:noWrap/>
            <w:vAlign w:val="center"/>
          </w:tcPr>
          <w:p w14:paraId="739990D6">
            <w:pPr>
              <w:widowControl/>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听课</w:t>
            </w:r>
          </w:p>
        </w:tc>
        <w:tc>
          <w:tcPr>
            <w:tcW w:w="2330" w:type="dxa"/>
            <w:shd w:val="clear" w:color="auto" w:fill="auto"/>
            <w:noWrap/>
            <w:vAlign w:val="center"/>
          </w:tcPr>
          <w:p w14:paraId="7B00EB1C">
            <w:pPr>
              <w:widowControl/>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明确学习的目标与方向</w:t>
            </w:r>
          </w:p>
        </w:tc>
      </w:tr>
      <w:tr w14:paraId="0D537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072E24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9B4FFC2">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自然资源的分布特征与区域发展的关系</w:t>
            </w:r>
          </w:p>
        </w:tc>
        <w:tc>
          <w:tcPr>
            <w:tcW w:w="2330" w:type="dxa"/>
            <w:gridSpan w:val="2"/>
            <w:shd w:val="clear" w:color="auto" w:fill="auto"/>
            <w:noWrap/>
            <w:vAlign w:val="center"/>
          </w:tcPr>
          <w:p w14:paraId="76FFC9AB">
            <w:pPr>
              <w:widowControl/>
              <w:rPr>
                <w:rFonts w:hint="default"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展示相关资料，引导学生进行分析</w:t>
            </w:r>
          </w:p>
        </w:tc>
        <w:tc>
          <w:tcPr>
            <w:tcW w:w="2330" w:type="dxa"/>
            <w:gridSpan w:val="2"/>
            <w:shd w:val="clear" w:color="auto" w:fill="auto"/>
            <w:noWrap/>
            <w:vAlign w:val="center"/>
          </w:tcPr>
          <w:p w14:paraId="5D15CD2F">
            <w:pPr>
              <w:widowControl/>
              <w:rPr>
                <w:rFonts w:hint="default"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根据镍矿的资源属性和空间分布，指出我国镍矿资源开发利用的主要问题，说明保障我国镍矿资源安全的有效途径</w:t>
            </w:r>
          </w:p>
        </w:tc>
        <w:tc>
          <w:tcPr>
            <w:tcW w:w="2330" w:type="dxa"/>
            <w:shd w:val="clear" w:color="auto" w:fill="auto"/>
            <w:noWrap/>
            <w:vAlign w:val="center"/>
          </w:tcPr>
          <w:p w14:paraId="7F38E0E1">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培养获取地理信息的能力，增强学生对地理知识的综合运用能力</w:t>
            </w:r>
          </w:p>
        </w:tc>
      </w:tr>
      <w:tr w14:paraId="2923A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057240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1BB4981E">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资源枯竭型城市兴衰区位分析与城市的专型发展</w:t>
            </w:r>
          </w:p>
        </w:tc>
        <w:tc>
          <w:tcPr>
            <w:tcW w:w="2330" w:type="dxa"/>
            <w:gridSpan w:val="2"/>
            <w:shd w:val="clear" w:color="auto" w:fill="auto"/>
            <w:noWrap/>
            <w:vAlign w:val="center"/>
          </w:tcPr>
          <w:p w14:paraId="325A713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展示金昌市产业发展相关资料，引导学生进行思考分析</w:t>
            </w:r>
          </w:p>
        </w:tc>
        <w:tc>
          <w:tcPr>
            <w:tcW w:w="2330" w:type="dxa"/>
            <w:gridSpan w:val="2"/>
            <w:shd w:val="clear" w:color="auto" w:fill="auto"/>
            <w:noWrap/>
            <w:vAlign w:val="center"/>
          </w:tcPr>
          <w:p w14:paraId="72140C88">
            <w:pPr>
              <w:widowControl/>
              <w:rPr>
                <w:rFonts w:hint="eastAsia"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评价金昌镍矿的开发条件，说明矿石开采和运输过程中可能的环境问题</w:t>
            </w:r>
          </w:p>
          <w:p w14:paraId="46D26236">
            <w:pPr>
              <w:widowControl/>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以金昌市产业发展转型思考我国其他资源枯竭型城市的转型发展之路</w:t>
            </w:r>
          </w:p>
        </w:tc>
        <w:tc>
          <w:tcPr>
            <w:tcW w:w="2330" w:type="dxa"/>
            <w:shd w:val="clear" w:color="auto" w:fill="auto"/>
            <w:noWrap/>
            <w:vAlign w:val="center"/>
          </w:tcPr>
          <w:p w14:paraId="6120527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2"/>
                <w:lang w:val="en-US" w:eastAsia="zh-CN"/>
              </w:rPr>
              <w:t>增强学生对地理知识的综合运用能力</w:t>
            </w:r>
          </w:p>
        </w:tc>
      </w:tr>
      <w:tr w14:paraId="3E44A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6C8D185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30664EBA">
            <w:pPr>
              <w:widowControl/>
              <w:rPr>
                <w:rFonts w:hint="eastAsia"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典例分析</w:t>
            </w:r>
          </w:p>
          <w:p w14:paraId="4E1B30DE">
            <w:pPr>
              <w:widowControl/>
              <w:rPr>
                <w:rFonts w:hint="eastAsia"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2022年辽宁卷</w:t>
            </w:r>
          </w:p>
          <w:p w14:paraId="1EC3D810">
            <w:pPr>
              <w:widowControl/>
              <w:rPr>
                <w:rFonts w:hint="default"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w:t>
            </w:r>
            <w:r>
              <w:rPr>
                <w:rFonts w:hint="default" w:cs="宋体" w:asciiTheme="minorEastAsia" w:hAnsiTheme="minorEastAsia"/>
                <w:bCs/>
                <w:color w:val="000000"/>
                <w:kern w:val="0"/>
                <w:sz w:val="22"/>
                <w:lang w:val="en-US" w:eastAsia="zh-CN"/>
              </w:rPr>
              <w:t>镍矿是战略性资源</w:t>
            </w:r>
            <w:r>
              <w:rPr>
                <w:rFonts w:hint="eastAsia" w:cs="宋体" w:asciiTheme="minorEastAsia" w:hAnsiTheme="minorEastAsia"/>
                <w:bCs/>
                <w:color w:val="000000"/>
                <w:kern w:val="0"/>
                <w:sz w:val="22"/>
                <w:lang w:val="en-US" w:eastAsia="zh-CN"/>
              </w:rPr>
              <w:t>……”</w:t>
            </w:r>
          </w:p>
        </w:tc>
        <w:tc>
          <w:tcPr>
            <w:tcW w:w="2330" w:type="dxa"/>
            <w:gridSpan w:val="2"/>
            <w:shd w:val="clear" w:color="auto" w:fill="auto"/>
            <w:noWrap/>
            <w:vAlign w:val="center"/>
          </w:tcPr>
          <w:p w14:paraId="0E1B4DF9">
            <w:pPr>
              <w:widowControl/>
              <w:rPr>
                <w:rFonts w:hint="eastAsia" w:cs="宋体" w:asciiTheme="minorEastAsia" w:hAnsiTheme="minorEastAsia"/>
                <w:bCs/>
                <w:color w:val="000000"/>
                <w:kern w:val="0"/>
                <w:sz w:val="22"/>
                <w:lang w:val="en-US" w:eastAsia="zh-CN"/>
              </w:rPr>
            </w:pPr>
            <w:r>
              <w:rPr>
                <w:rFonts w:hint="eastAsia" w:cs="宋体" w:asciiTheme="minorEastAsia" w:hAnsiTheme="minorEastAsia"/>
                <w:bCs/>
                <w:color w:val="000000"/>
                <w:kern w:val="0"/>
                <w:sz w:val="22"/>
                <w:lang w:val="en-US" w:eastAsia="zh-CN"/>
              </w:rPr>
              <w:t>分析错因</w:t>
            </w:r>
          </w:p>
          <w:p w14:paraId="0D2D8A09">
            <w:pPr>
              <w:widowControl/>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查漏补缺</w:t>
            </w:r>
          </w:p>
        </w:tc>
        <w:tc>
          <w:tcPr>
            <w:tcW w:w="2330" w:type="dxa"/>
            <w:gridSpan w:val="2"/>
            <w:shd w:val="clear" w:color="auto" w:fill="auto"/>
            <w:noWrap/>
            <w:vAlign w:val="center"/>
          </w:tcPr>
          <w:p w14:paraId="07FA9313">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解题并进行分析</w:t>
            </w:r>
          </w:p>
        </w:tc>
        <w:tc>
          <w:tcPr>
            <w:tcW w:w="2330" w:type="dxa"/>
            <w:shd w:val="clear" w:color="auto" w:fill="auto"/>
            <w:noWrap/>
            <w:vAlign w:val="center"/>
          </w:tcPr>
          <w:p w14:paraId="2B1CF77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2"/>
                <w:lang w:val="en-US" w:eastAsia="zh-CN"/>
              </w:rPr>
              <w:t>应</w:t>
            </w:r>
            <w:r>
              <w:rPr>
                <w:rFonts w:hint="eastAsia" w:cs="宋体" w:asciiTheme="minorEastAsia" w:hAnsiTheme="minorEastAsia"/>
                <w:bCs/>
                <w:color w:val="000000"/>
                <w:kern w:val="0"/>
                <w:sz w:val="22"/>
                <w:lang w:val="en-US" w:eastAsia="zh-CN"/>
              </w:rPr>
              <w:t>用知识点，培养地理实践力</w:t>
            </w:r>
          </w:p>
        </w:tc>
      </w:tr>
      <w:tr w14:paraId="77A33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885625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7F8B006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A3EDD5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eastAsia="zh-CN"/>
              </w:rPr>
              <w:t>《</w:t>
            </w:r>
            <w:r>
              <w:rPr>
                <w:rFonts w:hint="eastAsia" w:cs="宋体" w:asciiTheme="minorEastAsia" w:hAnsiTheme="minorEastAsia"/>
                <w:bCs/>
                <w:color w:val="000000"/>
                <w:kern w:val="0"/>
                <w:sz w:val="28"/>
                <w:szCs w:val="28"/>
                <w:lang w:val="en-US" w:eastAsia="zh-CN"/>
              </w:rPr>
              <w:t>优化方案》课后作业</w:t>
            </w:r>
          </w:p>
        </w:tc>
      </w:tr>
      <w:tr w14:paraId="23C25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12F618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08305B1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6E060F3">
            <w:pPr>
              <w:widowControl/>
              <w:jc w:val="left"/>
              <w:rPr>
                <w:rFonts w:cs="宋体" w:asciiTheme="minorEastAsia" w:hAnsiTheme="minorEastAsia"/>
                <w:bCs/>
                <w:color w:val="000000"/>
                <w:kern w:val="0"/>
                <w:sz w:val="28"/>
                <w:szCs w:val="28"/>
              </w:rPr>
            </w:pPr>
            <w:r>
              <w:drawing>
                <wp:inline distT="0" distB="0" distL="114300" distR="114300">
                  <wp:extent cx="2465705" cy="13347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465705" cy="1334770"/>
                          </a:xfrm>
                          <a:prstGeom prst="rect">
                            <a:avLst/>
                          </a:prstGeom>
                          <a:noFill/>
                          <a:ln>
                            <a:noFill/>
                          </a:ln>
                        </pic:spPr>
                      </pic:pic>
                    </a:graphicData>
                  </a:graphic>
                </wp:inline>
              </w:drawing>
            </w:r>
            <w:bookmarkStart w:id="0" w:name="_GoBack"/>
            <w:bookmarkEnd w:id="0"/>
          </w:p>
        </w:tc>
      </w:tr>
      <w:tr w14:paraId="496C7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BA6B3B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66C3437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48001DC0">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2"/>
                <w:lang w:val="en-US" w:eastAsia="zh-CN"/>
              </w:rPr>
              <w:t>通过本节课的学习，学生应能理解自然资源开发与区域发展的关系，掌握资源再生与国家安全的关联，并能在实际生活中运用这些知识分析相关问题。从区域特征出发，分析区域特征的利弊，指出区域发展的性质、发展过程的间歇现象及成因分析，提出区域持续发展的措施。关键在于如何具体分析。</w:t>
            </w:r>
          </w:p>
        </w:tc>
      </w:tr>
    </w:tbl>
    <w:p w14:paraId="62EF7E1E">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7300B2F"/>
    <w:rsid w:val="1D2A56E8"/>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113</Words>
  <Characters>114</Characters>
  <Lines>2</Lines>
  <Paragraphs>1</Paragraphs>
  <TotalTime>132</TotalTime>
  <ScaleCrop>false</ScaleCrop>
  <LinksUpToDate>false</LinksUpToDate>
  <CharactersWithSpaces>189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Moss</cp:lastModifiedBy>
  <cp:lastPrinted>2023-10-12T02:38:00Z</cp:lastPrinted>
  <dcterms:modified xsi:type="dcterms:W3CDTF">2025-03-18T13:54:20Z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4536569E3E4E41F69070168C40C9FDBC_13</vt:lpwstr>
  </property>
  <property fmtid="{D5CDD505-2E9C-101B-9397-08002B2CF9AE}" pid="4" name="KSOTemplateDocerSaveRecord">
    <vt:lpwstr>eyJoZGlkIjoiZjM4ZTk3MWJmNGVjM2IzZjgxNGRkY2VmOTFkZTg5MjkifQ==</vt:lpwstr>
  </property>
</Properties>
</file>