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C4DC7">
      <w:pPr>
        <w:pStyle w:val="2"/>
        <w:spacing w:beforeAutospacing="0" w:after="75" w:afterAutospacing="0" w:line="600" w:lineRule="atLeast"/>
        <w:jc w:val="center"/>
        <w:textAlignment w:val="baseline"/>
        <w:rPr>
          <w:rFonts w:hint="default" w:ascii="Arial" w:hAnsi="Arial" w:cs="Arial"/>
          <w:color w:val="333333"/>
          <w:sz w:val="30"/>
          <w:szCs w:val="30"/>
        </w:rPr>
      </w:pPr>
      <w:r>
        <w:rPr>
          <w:rFonts w:hint="default" w:ascii="Arial" w:hAnsi="Arial" w:cs="Arial"/>
          <w:color w:val="333333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11976100</wp:posOffset>
            </wp:positionH>
            <wp:positionV relativeFrom="topMargin">
              <wp:posOffset>12433300</wp:posOffset>
            </wp:positionV>
            <wp:extent cx="419100" cy="457200"/>
            <wp:effectExtent l="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color w:val="333333"/>
          <w:sz w:val="30"/>
          <w:szCs w:val="30"/>
        </w:rPr>
        <w:t xml:space="preserve">3.3 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.2</w:t>
      </w:r>
      <w:r>
        <w:rPr>
          <w:rFonts w:hint="default" w:ascii="Arial" w:hAnsi="Arial" w:cs="Arial"/>
          <w:color w:val="333333"/>
          <w:sz w:val="30"/>
          <w:szCs w:val="30"/>
        </w:rPr>
        <w:t>服务业区位因素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的</w:t>
      </w:r>
      <w:r>
        <w:rPr>
          <w:rFonts w:hint="default" w:ascii="Arial" w:hAnsi="Arial" w:cs="Arial"/>
          <w:color w:val="333333"/>
          <w:sz w:val="30"/>
          <w:szCs w:val="30"/>
        </w:rPr>
        <w:t>变化</w:t>
      </w:r>
    </w:p>
    <w:p w14:paraId="22290126">
      <w:pPr>
        <w:rPr>
          <w:rFonts w:eastAsia="微软雅黑"/>
          <w:b/>
          <w:lang w:eastAsia="zh-CN"/>
        </w:rPr>
      </w:pPr>
      <w:r>
        <w:rPr>
          <w:rFonts w:eastAsia="微软雅黑"/>
          <w:lang w:eastAsia="zh-CN"/>
        </w:rPr>
        <w:br w:type="textWrapping"/>
      </w:r>
      <w:r>
        <w:rPr>
          <w:rFonts w:eastAsia="微软雅黑"/>
          <w:b/>
          <w:lang w:eastAsia="zh-CN"/>
        </w:rPr>
        <w:t>一、单选题</w:t>
      </w:r>
    </w:p>
    <w:p w14:paraId="2CC1ABA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楷体"/>
          <w:kern w:val="2"/>
          <w:szCs w:val="22"/>
          <w:shd w:val="clear" w:color="auto" w:fill="FFFFFF"/>
          <w:lang w:eastAsia="zh-CN"/>
        </w:rPr>
        <w:t>太阳能汽车是一种靠太阳能来驱动的汽车,主要是通过使用太阳能电池把光能转换成电能,电能在蓄电池中备用,用来推动汽车的电动机(如下图)。据此完成下面小题。</w:t>
      </w:r>
    </w:p>
    <w:p w14:paraId="3137DDA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shd w:val="clear" w:color="auto" w:fill="FFFFFF"/>
          <w:lang w:eastAsia="zh-CN"/>
        </w:rPr>
        <w:drawing>
          <wp:inline distT="0" distB="0" distL="0" distR="0">
            <wp:extent cx="2952750" cy="1181735"/>
            <wp:effectExtent l="0" t="0" r="0" b="0"/>
            <wp:docPr id="1" name="_x0000_i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000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A4BC7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下列城市不适宜大范围推行太阳能汽车的是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(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)</w:t>
      </w:r>
    </w:p>
    <w:p w14:paraId="47B3090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A.拉萨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B.西宁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C.吐鲁番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D.成都</w:t>
      </w:r>
    </w:p>
    <w:p w14:paraId="4DAC9E0E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2．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太阳能汽车大范围推行遇到的主要阻碍为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(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)</w:t>
      </w:r>
    </w:p>
    <w:p w14:paraId="2B6D8B1E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A.运营成本过高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B.环境压力过大</w:t>
      </w:r>
    </w:p>
    <w:p w14:paraId="7286149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C.对地形平坦度要求高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D.对太阳能资源要求高</w:t>
      </w:r>
    </w:p>
    <w:p w14:paraId="76E7499A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楷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楷体"/>
          <w:kern w:val="2"/>
          <w:szCs w:val="22"/>
          <w:shd w:val="clear" w:color="auto" w:fill="FFFFFF"/>
          <w:lang w:eastAsia="zh-CN"/>
        </w:rPr>
        <w:t>近年来，我国经历了一场声势浩大的银行网点关停潮。2020—2023年，全国总共有9346个银行网点关闭，其中东部地区大城市关停的银行网点最多。从城市内部看，银行退出网点主要集中于资本、人口及技术等要素密集的区域。据此完成下面小题。</w:t>
      </w:r>
    </w:p>
    <w:p w14:paraId="6CE78F67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3．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东部地区大城市关停的银行网点多，主要是因为(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)</w:t>
      </w:r>
    </w:p>
    <w:p w14:paraId="6CDAD92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A.金融交易规模小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B.移动支付普及率高</w:t>
      </w:r>
    </w:p>
    <w:p w14:paraId="5764377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C.交通设施条件好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D.居民储蓄总量少</w:t>
      </w:r>
    </w:p>
    <w:p w14:paraId="1991573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4．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推测关停的银行网点多位于城市的(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)</w:t>
      </w:r>
    </w:p>
    <w:p w14:paraId="021B91A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A.商业区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B.工业区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C.住宅区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D.汽车站</w:t>
      </w:r>
    </w:p>
    <w:p w14:paraId="3D48494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5．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为提高新布局银行网点未来的运营效率，建议选址时多关注周边的(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)</w:t>
      </w:r>
    </w:p>
    <w:p w14:paraId="46BC676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A.常住人口数量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B.对外交通条件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C.政企客户分布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D.居民平均收入</w:t>
      </w:r>
    </w:p>
    <w:p w14:paraId="4B8DA14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楷体"/>
          <w:color w:val="000000"/>
          <w:kern w:val="2"/>
          <w:szCs w:val="22"/>
          <w:shd w:val="clear" w:color="auto" w:fill="FFFFFF"/>
          <w:lang w:eastAsia="zh-CN"/>
        </w:rPr>
        <w:t>近年来，我国东部沿海某省一些服装企业将部分生产部门转移到东南亚。在此过程中，该类服装企业自带技术和丝绸、刺绣等原材料，携手相关企业共同“走出去”。据此完成下面小题。</w:t>
      </w:r>
    </w:p>
    <w:p w14:paraId="738B6D2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6．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一般来说，服装企业的成本中占比最大的是(   )</w:t>
      </w:r>
    </w:p>
    <w:p w14:paraId="7F49439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A.原料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B.燃料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C.运费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D.工资</w:t>
      </w:r>
    </w:p>
    <w:p w14:paraId="7681AA9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7．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该企业将部分生产部门转移到东南亚的原因是东南亚(   )</w:t>
      </w:r>
    </w:p>
    <w:p w14:paraId="0F625D4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A.交通运输便利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B.基础设施完善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C.生产成本较低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D.市场需求量大</w:t>
      </w:r>
    </w:p>
    <w:p w14:paraId="05F8CEC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8．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该类服装企业“自带原材料”主要是为了(   )</w:t>
      </w:r>
    </w:p>
    <w:p w14:paraId="2A7A82B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A.缩短加工时间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B.保证产品品质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C.降低生产成本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D.加强文化交流</w:t>
      </w:r>
    </w:p>
    <w:p w14:paraId="09CD3EF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楷体"/>
          <w:kern w:val="2"/>
          <w:szCs w:val="22"/>
          <w:shd w:val="clear" w:color="auto" w:fill="FFFFFF"/>
          <w:lang w:eastAsia="zh-CN"/>
        </w:rPr>
      </w:pPr>
      <w:r>
        <w:rPr>
          <w:rFonts w:eastAsia="楷体"/>
          <w:kern w:val="2"/>
          <w:szCs w:val="22"/>
          <w:shd w:val="clear" w:color="auto" w:fill="FFFFFF"/>
          <w:lang w:eastAsia="zh-CN"/>
        </w:rPr>
        <w:t>“低空经济”是以航空器的低空飞行活动为牵引，辐射带动相关领域融合发展的综合性经济形态。2024年2月27日，被称为“空中的士”的eVTOL（电动垂直起降航空器）从“无人机之都”深圳直飞珠海，成功完成全球首次跨海跨城飞行，将2个多小时的地面车程缩短至20分钟。据此完成下面小题。</w:t>
      </w:r>
    </w:p>
    <w:p w14:paraId="64F57A7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9．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深圳能够成功完成“空中的士”首飞主要得益于深圳(   )</w:t>
      </w:r>
    </w:p>
    <w:p w14:paraId="248BCA4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A.产业基础雄厚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B.人流物流量大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C.对外交通便利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D.基础设施完善</w:t>
      </w:r>
    </w:p>
    <w:p w14:paraId="198D5A7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10．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与深圳—珠海公路运输相比，“空中的士”(   )</w:t>
      </w:r>
    </w:p>
    <w:p w14:paraId="132DFE2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A.运载量大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B.受天气影响小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C.运输费用低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D.受地面影响小</w:t>
      </w:r>
    </w:p>
    <w:p w14:paraId="3CC1A46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11．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目前，“低空经济”最适合的应用场景是(   )</w:t>
      </w:r>
    </w:p>
    <w:p w14:paraId="7CE7C97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①快递物流</w:t>
      </w:r>
    </w:p>
    <w:p w14:paraId="6BAB343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②长途客运</w:t>
      </w:r>
    </w:p>
    <w:p w14:paraId="64A0A857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③应急救援</w:t>
      </w:r>
    </w:p>
    <w:p w14:paraId="6CFAD78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④农产品外运</w:t>
      </w:r>
    </w:p>
    <w:p w14:paraId="6146542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A.①②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B.①③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C.②④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D.③④</w:t>
      </w:r>
    </w:p>
    <w:p w14:paraId="109F500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楷体"/>
          <w:kern w:val="2"/>
          <w:szCs w:val="22"/>
          <w:shd w:val="clear" w:color="auto" w:fill="FFFFFF"/>
          <w:lang w:eastAsia="zh-CN"/>
        </w:rPr>
      </w:pPr>
      <w:r>
        <w:rPr>
          <w:rFonts w:eastAsia="楷体"/>
          <w:kern w:val="2"/>
          <w:szCs w:val="22"/>
          <w:shd w:val="clear" w:color="auto" w:fill="FFFFFF"/>
          <w:lang w:eastAsia="zh-CN"/>
        </w:rPr>
        <w:t>液化天然气接收站是接卸和存储船运液化天然气的能源基础设施，通过管道等方式将天然气外输到消费地，具有调峰保供的功能。江苏盐城接收站建在滨海港区内的滩涂上，是全球一次性建成的规模最大接收站，2022年9月开始运营。该站包括专用泊位、管网和10座大型储罐等，占地面积较大。接收站还规划建设冷能利用、燃气发电和制氢等附属设施。据此完成下面小题。</w:t>
      </w:r>
    </w:p>
    <w:p w14:paraId="318680F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12．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盐城接收站高效运营的必要条件是(   )</w:t>
      </w:r>
    </w:p>
    <w:p w14:paraId="1BEA99FA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A.本地能源消费增长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B.能源消费峰谷差大</w:t>
      </w:r>
    </w:p>
    <w:p w14:paraId="0FA8E85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C.航道防淤清淤保障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D.港区外可用地充足</w:t>
      </w:r>
    </w:p>
    <w:p w14:paraId="099C495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13．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能够提升盐城接收站天然气调峰保供能力的是(   )</w:t>
      </w:r>
    </w:p>
    <w:p w14:paraId="1A7CE84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A.扩建专用泊位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B.接入干线管网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C.扩展外输方式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D.增加存储规模</w:t>
      </w:r>
    </w:p>
    <w:p w14:paraId="6E58EDB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楷体"/>
          <w:kern w:val="2"/>
          <w:szCs w:val="22"/>
          <w:shd w:val="clear" w:color="auto" w:fill="FFFFFF"/>
          <w:lang w:eastAsia="zh-CN"/>
        </w:rPr>
      </w:pPr>
      <w:r>
        <w:rPr>
          <w:rFonts w:eastAsia="楷体"/>
          <w:kern w:val="2"/>
          <w:szCs w:val="22"/>
          <w:shd w:val="clear" w:color="auto" w:fill="FFFFFF"/>
          <w:lang w:eastAsia="zh-CN"/>
        </w:rPr>
        <w:t>社区团购是社区居民在互联网线上商城下单后，平台方将货物发送至团长自提点，社区居民线下自提（如图所示），它是依托社区和团长社交关系实现生鲜商品流通的新零售模式，一经推广就受到广大年轻团体的欢迎。完成下面小题。</w:t>
      </w:r>
    </w:p>
    <w:p w14:paraId="6B8BECC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shd w:val="clear" w:color="auto" w:fill="FFFFFF"/>
          <w:lang w:eastAsia="zh-CN"/>
        </w:rPr>
        <w:drawing>
          <wp:inline distT="0" distB="0" distL="0" distR="0">
            <wp:extent cx="3200400" cy="1952625"/>
            <wp:effectExtent l="0" t="0" r="0" b="0"/>
            <wp:docPr id="691775194" name="_x0000_i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775194" name="_x0000_i000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08EC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14．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社区团购商业模式的经营得益于(   )</w:t>
      </w:r>
    </w:p>
    <w:p w14:paraId="680CE58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A.商品流通快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B.仓储成本较低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C.商品价格低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D.信息网络完善</w:t>
      </w:r>
    </w:p>
    <w:p w14:paraId="54544AC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15．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新建的商品住宅小区居民自提意愿程度偏高，原因最可能是(   )</w:t>
      </w:r>
    </w:p>
    <w:p w14:paraId="740669B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A.管理原因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B.派件数量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C.年龄结构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D.基础设施</w:t>
      </w:r>
    </w:p>
    <w:p w14:paraId="3F0A0C4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楷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eastAsia="楷体"/>
          <w:color w:val="000000"/>
          <w:kern w:val="2"/>
          <w:szCs w:val="22"/>
          <w:shd w:val="clear" w:color="auto" w:fill="FFFFFF"/>
          <w:lang w:eastAsia="zh-CN"/>
        </w:rPr>
        <w:t>近些年，以“上门代厨”、“上门理发”等为代表的上门经济悄然火了起来。上门经济是通过互联网平台，客户在线上下单，服务者提供上门服务。上门经济在给广大消费者带来极大便利的同时，诸多安全问题也不容忽视。</w:t>
      </w:r>
    </w:p>
    <w:p w14:paraId="7863254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</w:p>
    <w:p w14:paraId="69E07CAC">
      <w:pPr>
        <w:rPr>
          <w:rFonts w:eastAsia="微软雅黑"/>
          <w:b/>
          <w:lang w:eastAsia="zh-CN"/>
        </w:rPr>
      </w:pPr>
      <w:r>
        <w:rPr>
          <w:rFonts w:eastAsia="微软雅黑"/>
          <w:b/>
          <w:lang w:eastAsia="zh-CN"/>
        </w:rPr>
        <w:t>二、材料分析题</w:t>
      </w:r>
    </w:p>
    <w:p w14:paraId="7780F2C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val="en-US" w:eastAsia="zh-CN"/>
        </w:rPr>
        <w:t>16.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阅读材料，完成下列问题。</w:t>
      </w:r>
    </w:p>
    <w:p w14:paraId="5E03E21E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2" w:firstLineChars="200"/>
        <w:rPr>
          <w:rFonts w:ascii="楷体" w:hAnsi="楷体" w:eastAsia="楷体"/>
          <w:kern w:val="2"/>
          <w:szCs w:val="22"/>
          <w:shd w:val="clear" w:color="auto" w:fill="FFFFFF"/>
          <w:lang w:eastAsia="zh-CN"/>
        </w:rPr>
      </w:pPr>
      <w:r>
        <w:rPr>
          <w:rFonts w:ascii="楷体" w:hAnsi="楷体" w:eastAsia="楷体"/>
          <w:b/>
          <w:kern w:val="2"/>
          <w:szCs w:val="22"/>
          <w:shd w:val="clear" w:color="auto" w:fill="FFFFFF"/>
          <w:lang w:eastAsia="zh-CN"/>
        </w:rPr>
        <w:t>材料一</w:t>
      </w:r>
      <w:r>
        <w:rPr>
          <w:rFonts w:ascii="楷体" w:hAnsi="楷体" w:eastAsia="楷体"/>
          <w:kern w:val="2"/>
          <w:szCs w:val="22"/>
          <w:shd w:val="clear" w:color="auto" w:fill="FFFFFF"/>
          <w:lang w:eastAsia="zh-CN"/>
        </w:rPr>
        <w:t>：据统计，2023年加拿大人口首次突破4000万，人口增长的96%来自移民，且主要来自发展中国家。图1为加拿大人口分布示意。图2为魁北克——温莎走廊城市分布，该地带位于加拿大东南部，是人口最稠密，工业化水平最高的地区。该国造纸业十分发达，纸张和木浆主要出口中国。</w:t>
      </w:r>
    </w:p>
    <w:p w14:paraId="26940C1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2" w:firstLineChars="200"/>
        <w:rPr>
          <w:rFonts w:ascii="楷体" w:hAnsi="楷体" w:eastAsia="楷体"/>
          <w:kern w:val="2"/>
          <w:szCs w:val="22"/>
          <w:shd w:val="clear" w:color="auto" w:fill="FFFFFF"/>
          <w:lang w:eastAsia="zh-CN"/>
        </w:rPr>
      </w:pPr>
      <w:r>
        <w:rPr>
          <w:rFonts w:ascii="楷体" w:hAnsi="楷体" w:eastAsia="楷体"/>
          <w:b/>
          <w:kern w:val="2"/>
          <w:szCs w:val="22"/>
          <w:shd w:val="clear" w:color="auto" w:fill="FFFFFF"/>
          <w:lang w:eastAsia="zh-CN"/>
        </w:rPr>
        <w:t>材料二</w:t>
      </w:r>
      <w:r>
        <w:rPr>
          <w:rFonts w:ascii="楷体" w:hAnsi="楷体" w:eastAsia="楷体"/>
          <w:kern w:val="2"/>
          <w:szCs w:val="22"/>
          <w:shd w:val="clear" w:color="auto" w:fill="FFFFFF"/>
          <w:lang w:eastAsia="zh-CN"/>
        </w:rPr>
        <w:t>：以蒙特利尔为界将圣劳伦斯河分为上下游。为提高航运，1953年美、加两国在蒙特利尔修建了拦河坝等工程设施。</w:t>
      </w:r>
    </w:p>
    <w:p w14:paraId="00D3CC8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shd w:val="clear" w:color="auto" w:fill="FFFFFF"/>
          <w:lang w:eastAsia="zh-CN"/>
        </w:rPr>
        <w:drawing>
          <wp:inline distT="0" distB="0" distL="0" distR="0">
            <wp:extent cx="5905500" cy="2044700"/>
            <wp:effectExtent l="0" t="0" r="0" b="0"/>
            <wp:docPr id="10" name="_x0000_i1034" descr="https://img.xkw.com/dksih/QBM/editorImg/2024/4/11/7f6a82c8-ff81-428e-af33-29824500bf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_i1034" descr="https://img.xkw.com/dksih/QBM/editorImg/2024/4/11/7f6a82c8-ff81-428e-af33-29824500bf19.jp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5C6C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2" w:firstLineChars="200"/>
        <w:rPr>
          <w:rFonts w:ascii="楷体" w:hAnsi="楷体" w:eastAsia="楷体"/>
          <w:kern w:val="2"/>
          <w:szCs w:val="22"/>
          <w:shd w:val="clear" w:color="auto" w:fill="FFFFFF"/>
          <w:lang w:eastAsia="zh-CN"/>
        </w:rPr>
      </w:pPr>
      <w:r>
        <w:rPr>
          <w:rFonts w:ascii="楷体" w:hAnsi="楷体" w:eastAsia="楷体"/>
          <w:b/>
          <w:kern w:val="2"/>
          <w:szCs w:val="22"/>
          <w:shd w:val="clear" w:color="auto" w:fill="FFFFFF"/>
          <w:lang w:eastAsia="zh-CN"/>
        </w:rPr>
        <w:t>材料三</w:t>
      </w:r>
      <w:r>
        <w:rPr>
          <w:rFonts w:ascii="楷体" w:hAnsi="楷体" w:eastAsia="楷体"/>
          <w:kern w:val="2"/>
          <w:szCs w:val="22"/>
          <w:shd w:val="clear" w:color="auto" w:fill="FFFFFF"/>
          <w:lang w:eastAsia="zh-CN"/>
        </w:rPr>
        <w:t>：图3为加拿大传统民居。</w:t>
      </w:r>
    </w:p>
    <w:p w14:paraId="3D5DC6D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shd w:val="clear" w:color="auto" w:fill="FFFFFF"/>
          <w:lang w:eastAsia="zh-CN"/>
        </w:rPr>
        <w:drawing>
          <wp:inline distT="0" distB="0" distL="0" distR="0">
            <wp:extent cx="2409825" cy="1382395"/>
            <wp:effectExtent l="0" t="0" r="0" b="8255"/>
            <wp:docPr id="11" name="_x0000_i1035" descr="https://img.xkw.com/dksih/QBM/editorImg/2024/4/11/997e5695-7586-44c9-a2c7-b0cc8fb83f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_x0000_i1035" descr="https://img.xkw.com/dksih/QBM/editorImg/2024/4/11/997e5695-7586-44c9-a2c7-b0cc8fb83fb5.jp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33923" cy="139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20F0A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（1）圣劳伦斯河上游流速</w:t>
      </w:r>
      <w:r>
        <w:rPr>
          <w:rFonts w:eastAsia="宋体"/>
          <w:kern w:val="2"/>
          <w:szCs w:val="22"/>
          <w:u w:val="single"/>
          <w:shd w:val="clear" w:color="auto" w:fill="FFFFFF"/>
          <w:lang w:eastAsia="zh-CN"/>
        </w:rPr>
        <w:t>_____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（填“快/慢”），主要是因为</w:t>
      </w:r>
      <w:r>
        <w:rPr>
          <w:rFonts w:eastAsia="宋体"/>
          <w:kern w:val="2"/>
          <w:szCs w:val="22"/>
          <w:u w:val="single"/>
          <w:shd w:val="clear" w:color="auto" w:fill="FFFFFF"/>
          <w:lang w:eastAsia="zh-CN"/>
        </w:rPr>
        <w:t>_____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。拦河坝改变了水循环的</w:t>
      </w:r>
      <w:r>
        <w:rPr>
          <w:rFonts w:eastAsia="宋体"/>
          <w:kern w:val="2"/>
          <w:szCs w:val="22"/>
          <w:u w:val="single"/>
          <w:shd w:val="clear" w:color="auto" w:fill="FFFFFF"/>
          <w:lang w:eastAsia="zh-CN"/>
        </w:rPr>
        <w:t>_____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（填“主要环节”），从经济条件角度，说出拦河坝的主要作用。</w:t>
      </w:r>
    </w:p>
    <w:p w14:paraId="1937D4C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（2）魁北克市一温莎走廊城市沿</w:t>
      </w:r>
      <w:r>
        <w:rPr>
          <w:rFonts w:eastAsia="宋体"/>
          <w:kern w:val="2"/>
          <w:szCs w:val="22"/>
          <w:u w:val="single"/>
          <w:shd w:val="clear" w:color="auto" w:fill="FFFFFF"/>
          <w:lang w:eastAsia="zh-CN"/>
        </w:rPr>
        <w:t>_____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分布；影响其分布的主要因素是</w:t>
      </w:r>
      <w:r>
        <w:rPr>
          <w:rFonts w:eastAsia="宋体"/>
          <w:kern w:val="2"/>
          <w:szCs w:val="22"/>
          <w:u w:val="single"/>
          <w:shd w:val="clear" w:color="auto" w:fill="FFFFFF"/>
          <w:lang w:eastAsia="zh-CN"/>
        </w:rPr>
        <w:t>_____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；该区域城市化水平</w:t>
      </w:r>
      <w:r>
        <w:rPr>
          <w:rFonts w:eastAsia="宋体"/>
          <w:kern w:val="2"/>
          <w:szCs w:val="22"/>
          <w:u w:val="single"/>
          <w:shd w:val="clear" w:color="auto" w:fill="FFFFFF"/>
          <w:lang w:eastAsia="zh-CN"/>
        </w:rPr>
        <w:t>_____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（填“高/低”），具有人口</w:t>
      </w:r>
      <w:r>
        <w:rPr>
          <w:rFonts w:eastAsia="宋体"/>
          <w:kern w:val="2"/>
          <w:szCs w:val="22"/>
          <w:u w:val="single"/>
          <w:shd w:val="clear" w:color="auto" w:fill="FFFFFF"/>
          <w:lang w:eastAsia="zh-CN"/>
        </w:rPr>
        <w:t>_____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（填“稠密/稀疏”）、大中小城市</w:t>
      </w:r>
      <w:r>
        <w:rPr>
          <w:rFonts w:eastAsia="宋体"/>
          <w:kern w:val="2"/>
          <w:szCs w:val="22"/>
          <w:u w:val="single"/>
          <w:shd w:val="clear" w:color="auto" w:fill="FFFFFF"/>
          <w:lang w:eastAsia="zh-CN"/>
        </w:rPr>
        <w:t>_____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（填“多/少”）等特征，主要是因为</w:t>
      </w:r>
      <w:r>
        <w:rPr>
          <w:rFonts w:eastAsia="宋体"/>
          <w:kern w:val="2"/>
          <w:szCs w:val="22"/>
          <w:u w:val="single"/>
          <w:shd w:val="clear" w:color="auto" w:fill="FFFFFF"/>
          <w:lang w:eastAsia="zh-CN"/>
        </w:rPr>
        <w:t>_____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（城市化的动力）。</w:t>
      </w:r>
    </w:p>
    <w:p w14:paraId="290FB93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（3）分析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①②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两地区造纸业发达的主要原因。</w:t>
      </w:r>
    </w:p>
    <w:p w14:paraId="1061F13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（4）说出该地民居特色，并说明其形成的自然原因。</w:t>
      </w:r>
    </w:p>
    <w:p w14:paraId="615805E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val="en-US" w:eastAsia="zh-CN"/>
        </w:rPr>
        <w:t>17</w:t>
      </w:r>
      <w:bookmarkStart w:id="0" w:name="_GoBack"/>
      <w:bookmarkEnd w:id="0"/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．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阅读材料，回答下面问题。</w:t>
      </w:r>
    </w:p>
    <w:p w14:paraId="12E9DFD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0" w:firstLineChars="200"/>
        <w:rPr>
          <w:rFonts w:eastAsia="楷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eastAsia="楷体"/>
          <w:color w:val="000000"/>
          <w:kern w:val="2"/>
          <w:szCs w:val="22"/>
          <w:shd w:val="clear" w:color="auto" w:fill="FFFFFF"/>
          <w:lang w:eastAsia="zh-CN"/>
        </w:rPr>
        <w:t>钢铁工业是四川省攀枝花市的主导工业部门。读攀枝花市及其附近地区简图，完成下列各题。</w:t>
      </w:r>
    </w:p>
    <w:p w14:paraId="464CC2C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shd w:val="clear" w:color="auto" w:fill="FFFFFF"/>
          <w:lang w:eastAsia="zh-CN"/>
        </w:rPr>
        <w:drawing>
          <wp:inline distT="0" distB="0" distL="0" distR="0">
            <wp:extent cx="3076575" cy="2771775"/>
            <wp:effectExtent l="0" t="0" r="9525" b="9525"/>
            <wp:docPr id="71" name="_x0000_i1095" descr="@@@8e908e97-2dd4-43cb-949c-ed353df798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_x0000_i1095" descr="@@@8e908e97-2dd4-43cb-949c-ed353df798fd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5423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（1）简述攀枝花市发展钢铁工业的有利区位条件。</w:t>
      </w:r>
    </w:p>
    <w:p w14:paraId="338B3F7E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（2）与攀枝花相比，上海发展钢铁工业的有利条件主要是什么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？</w:t>
      </w:r>
    </w:p>
    <w:p w14:paraId="555DE1F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（3）图示地区还可发展炼铜工业，其主要优势条件有哪些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？</w:t>
      </w:r>
    </w:p>
    <w:p w14:paraId="358BF84B">
      <w:pPr>
        <w:jc w:val="both"/>
        <w:rPr>
          <w:rFonts w:eastAsia="微软雅黑"/>
          <w:b/>
          <w:sz w:val="40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40" w:bottom="1440" w:left="1440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74066">
    <w:pPr>
      <w:pStyle w:val="3"/>
    </w:pPr>
  </w:p>
  <w:p w14:paraId="1D44AA13">
    <w:pPr>
      <w:widowControl w:val="0"/>
      <w:tabs>
        <w:tab w:val="center" w:pos="4153"/>
        <w:tab w:val="right" w:pos="8306"/>
      </w:tabs>
      <w:snapToGrid w:val="0"/>
      <w:jc w:val="left"/>
      <w:rPr>
        <w:rFonts w:eastAsia="宋体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4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color w:val="FFFFFF"/>
        <w:sz w:val="2"/>
        <w:szCs w:val="2"/>
        <w:lang w:eastAsia="zh-CN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4FDD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681B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D0954">
    <w:pPr>
      <w:pStyle w:val="4"/>
    </w:pPr>
  </w:p>
  <w:p w14:paraId="3DF99BEA">
    <w:pPr>
      <w:widowControl w:val="0"/>
      <w:pBdr>
        <w:bottom w:val="none" w:color="auto" w:sz="0" w:space="1"/>
      </w:pBdr>
      <w:snapToGrid w:val="0"/>
      <w:jc w:val="both"/>
      <w:rPr>
        <w:rFonts w:eastAsia="宋体"/>
        <w:sz w:val="2"/>
        <w:szCs w:val="2"/>
        <w:lang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3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0FF1B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0AA6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documentProtection w:enforcement="0"/>
  <w:defaultTabStop w:val="720"/>
  <w:noPunctuationKerning w:val="1"/>
  <w:characterSpacingControl w:val="doNotCompress"/>
  <w:hdrShapeDefaults>
    <o:shapelayout v:ext="edit">
      <o:idmap v:ext="edit" data="2"/>
    </o:shapelayout>
  </w:hdrShapeDefaults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4ZjJjNzU4NTI1OGExZTQ5NWFjYjM3MzFkZDY2MGYifQ=="/>
  </w:docVars>
  <w:rsids>
    <w:rsidRoot w:val="00A77B3E"/>
    <w:rsid w:val="00091FC1"/>
    <w:rsid w:val="00115A79"/>
    <w:rsid w:val="002574A5"/>
    <w:rsid w:val="00287181"/>
    <w:rsid w:val="003316A2"/>
    <w:rsid w:val="004151FC"/>
    <w:rsid w:val="0042005B"/>
    <w:rsid w:val="004414EB"/>
    <w:rsid w:val="006F4979"/>
    <w:rsid w:val="00767511"/>
    <w:rsid w:val="00826583"/>
    <w:rsid w:val="00854D1D"/>
    <w:rsid w:val="0094449B"/>
    <w:rsid w:val="00974DD5"/>
    <w:rsid w:val="00A1730D"/>
    <w:rsid w:val="00A77B3E"/>
    <w:rsid w:val="00AF3FE7"/>
    <w:rsid w:val="00AF5081"/>
    <w:rsid w:val="00BE713E"/>
    <w:rsid w:val="00C02FC6"/>
    <w:rsid w:val="00C21515"/>
    <w:rsid w:val="00CA2A55"/>
    <w:rsid w:val="00D25FA4"/>
    <w:rsid w:val="00E53106"/>
    <w:rsid w:val="00F3110D"/>
    <w:rsid w:val="00F4674E"/>
    <w:rsid w:val="324E3564"/>
    <w:rsid w:val="5E44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/>
      <w:b/>
      <w:bCs/>
      <w:sz w:val="27"/>
      <w:szCs w:val="27"/>
      <w:lang w:eastAsia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eastAsia="Times New Roman"/>
      <w:sz w:val="18"/>
      <w:szCs w:val="18"/>
      <w:lang w:eastAsia="en-US"/>
    </w:rPr>
  </w:style>
  <w:style w:type="character" w:customStyle="1" w:styleId="8">
    <w:name w:val="页脚 Char"/>
    <w:basedOn w:val="6"/>
    <w:link w:val="3"/>
    <w:uiPriority w:val="0"/>
    <w:rPr>
      <w:rFonts w:eastAsia="Times New Roman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7.png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1348</Words>
  <Characters>1433</Characters>
  <Lines>75</Lines>
  <Paragraphs>21</Paragraphs>
  <TotalTime>1</TotalTime>
  <ScaleCrop>false</ScaleCrop>
  <LinksUpToDate>false</LinksUpToDate>
  <CharactersWithSpaces>1512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2024-10-30T02:43:00Z</dcterms:created>
  <dcterms:modified xsi:type="dcterms:W3CDTF">2025-02-14T14:33:01Z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eyJoZGlkIjoiODViY2JkMjU3NGYzZTEwMzZmMGFkZWViYmNkYWU3NDIiLCJ1c2VySWQiOiIyNTM0MjE1MzAifQ==</vt:lpwstr>
  </property>
  <property fmtid="{D5CDD505-2E9C-101B-9397-08002B2CF9AE}" pid="7" name="KSOProductBuildVer">
    <vt:lpwstr>2052-12.1.0.19770</vt:lpwstr>
  </property>
  <property fmtid="{D5CDD505-2E9C-101B-9397-08002B2CF9AE}" pid="8" name="ICV">
    <vt:lpwstr>835DC7A323A941FD95FC3B60AC5B6087_13</vt:lpwstr>
  </property>
</Properties>
</file>