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352A9AB7">
      <w:pPr>
        <w:pStyle w:val="Subtitle"/>
        <w:rPr>
          <w:rFonts w:ascii="Times New Roman" w:hAnsi="Times New Roman"/>
          <w:color w:val="000000" w:themeColor="text1"/>
          <w14:textFill>
            <w14:solidFill>
              <w14:schemeClr w14:val="tx1"/>
            </w14:solidFill>
          </w14:textFill>
        </w:rPr>
      </w:pPr>
      <w:r>
        <w:rPr>
          <w:rFonts w:ascii="Times New Roman" w:hAnsi="Times New Roman" w:hint="eastAsia"/>
          <w:color w:val="000000" w:themeColor="text1"/>
          <w:lang w:val="en-US" w:eastAsia="zh-CN"/>
          <w14:textFill>
            <w14:solidFill>
              <w14:schemeClr w14:val="tx1"/>
            </w14:solidFill>
          </w14:textFill>
        </w:rPr>
        <w:drawing>
          <wp:anchor simplePos="0" relativeHeight="251658240" behindDoc="0" locked="0" layoutInCell="1" allowOverlap="1">
            <wp:simplePos x="0" y="0"/>
            <wp:positionH relativeFrom="page">
              <wp:posOffset>11137900</wp:posOffset>
            </wp:positionH>
            <wp:positionV relativeFrom="topMargin">
              <wp:posOffset>10350500</wp:posOffset>
            </wp:positionV>
            <wp:extent cx="457200" cy="381000"/>
            <wp:wrapNone/>
            <wp:docPr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4"/>
                    <a:stretch>
                      <a:fillRect/>
                    </a:stretch>
                  </pic:blipFill>
                  <pic:spPr>
                    <a:xfrm>
                      <a:off x="0" y="0"/>
                      <a:ext cx="457200" cy="381000"/>
                    </a:xfrm>
                    <a:prstGeom prst="rect">
                      <a:avLst/>
                    </a:prstGeom>
                  </pic:spPr>
                </pic:pic>
              </a:graphicData>
            </a:graphic>
          </wp:anchor>
        </w:drawing>
      </w:r>
      <w:r>
        <w:rPr>
          <w:rFonts w:ascii="Times New Roman" w:hAnsi="Times New Roman" w:hint="eastAsia"/>
          <w:color w:val="000000" w:themeColor="text1"/>
          <w:lang w:val="en-US" w:eastAsia="zh-CN"/>
          <w14:textFill>
            <w14:solidFill>
              <w14:schemeClr w14:val="tx1"/>
            </w14:solidFill>
          </w14:textFill>
        </w:rPr>
        <w:t>3.1</w:t>
      </w:r>
      <w:r>
        <w:rPr>
          <w:rFonts w:ascii="Times New Roman" w:hAnsi="Times New Roman"/>
          <w:color w:val="000000" w:themeColor="text1"/>
          <w14:textFill>
            <w14:solidFill>
              <w14:schemeClr w14:val="tx1"/>
            </w14:solidFill>
          </w14:textFill>
        </w:rPr>
        <w:t xml:space="preserve"> </w:t>
      </w:r>
      <w:r>
        <w:rPr>
          <w:rFonts w:ascii="Times New Roman" w:hAnsi="Times New Roman" w:hint="eastAsia"/>
          <w:color w:val="000000" w:themeColor="text1"/>
          <w14:textFill>
            <w14:solidFill>
              <w14:schemeClr w14:val="tx1"/>
            </w14:solidFill>
          </w14:textFill>
        </w:rPr>
        <w:t>环境安全对国家安全的影响</w:t>
      </w:r>
    </w:p>
    <w:p w14:paraId="0DA61C56">
      <w:pPr>
        <w:shd w:val="clear" w:color="auto" w:fill="auto"/>
        <w:spacing w:line="360" w:lineRule="auto"/>
        <w:ind w:firstLine="420"/>
        <w:jc w:val="left"/>
        <w:rPr>
          <w:color w:val="000000" w:themeColor="text1"/>
          <w14:textFill>
            <w14:solidFill>
              <w14:schemeClr w14:val="tx1"/>
            </w14:solidFill>
          </w14:textFill>
        </w:rPr>
      </w:pPr>
      <w:r>
        <w:rPr>
          <w:rFonts w:ascii="楷体" w:eastAsia="楷体" w:hAnsi="楷体" w:cs="楷体"/>
          <w:color w:val="000000" w:themeColor="text1"/>
          <w14:textFill>
            <w14:solidFill>
              <w14:schemeClr w14:val="tx1"/>
            </w14:solidFill>
          </w14:textFill>
        </w:rPr>
        <w:t>限期治理制度是指对指定区域的重点环境问题采取的强制性措施。据此完成下面小题。</w:t>
      </w:r>
    </w:p>
    <w:p w14:paraId="5718A18D">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1．限期治理制度的治理要求是限定（</w:t>
      </w:r>
      <w:r>
        <w:rPr>
          <w:rFonts w:ascii="Times New Roman" w:eastAsia="Times New Roman" w:hAnsi="Times New Roman" w:cs="Times New Roman"/>
          <w:color w:val="000000" w:themeColor="text1"/>
          <w:kern w:val="0"/>
          <w:sz w:val="24"/>
          <w:szCs w:val="24"/>
          <w14:textFill>
            <w14:solidFill>
              <w14:schemeClr w14:val="tx1"/>
            </w14:solidFill>
          </w14:textFill>
        </w:rPr>
        <w:t>   </w:t>
      </w:r>
      <w:r>
        <w:rPr>
          <w:color w:val="000000" w:themeColor="text1"/>
          <w14:textFill>
            <w14:solidFill>
              <w14:schemeClr w14:val="tx1"/>
            </w14:solidFill>
          </w14:textFill>
        </w:rPr>
        <w:t>）</w:t>
      </w:r>
    </w:p>
    <w:p w14:paraId="1904F5CA">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①治理时间②治理内容③治理效果④治理措施</w:t>
      </w:r>
    </w:p>
    <w:p w14:paraId="5A9F5838">
      <w:pPr>
        <w:shd w:val="clear" w:color="auto" w:fill="auto"/>
        <w:tabs>
          <w:tab w:val="left" w:pos="2078"/>
          <w:tab w:val="left" w:pos="4156"/>
          <w:tab w:val="left" w:pos="6234"/>
        </w:tabs>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A．①②④</w:t>
      </w:r>
      <w:r>
        <w:rPr>
          <w:color w:val="000000" w:themeColor="text1"/>
          <w14:textFill>
            <w14:solidFill>
              <w14:schemeClr w14:val="tx1"/>
            </w14:solidFill>
          </w14:textFill>
        </w:rPr>
        <w:tab/>
      </w:r>
      <w:r>
        <w:rPr>
          <w:color w:val="000000" w:themeColor="text1"/>
          <w14:textFill>
            <w14:solidFill>
              <w14:schemeClr w14:val="tx1"/>
            </w14:solidFill>
          </w14:textFill>
        </w:rPr>
        <w:t>B．②③④</w:t>
      </w:r>
      <w:r>
        <w:rPr>
          <w:color w:val="000000" w:themeColor="text1"/>
          <w14:textFill>
            <w14:solidFill>
              <w14:schemeClr w14:val="tx1"/>
            </w14:solidFill>
          </w14:textFill>
        </w:rPr>
        <w:tab/>
      </w:r>
      <w:r>
        <w:rPr>
          <w:color w:val="000000" w:themeColor="text1"/>
          <w14:textFill>
            <w14:solidFill>
              <w14:schemeClr w14:val="tx1"/>
            </w14:solidFill>
          </w14:textFill>
        </w:rPr>
        <w:t>C．①③④</w:t>
      </w:r>
      <w:r>
        <w:rPr>
          <w:color w:val="000000" w:themeColor="text1"/>
          <w14:textFill>
            <w14:solidFill>
              <w14:schemeClr w14:val="tx1"/>
            </w14:solidFill>
          </w14:textFill>
        </w:rPr>
        <w:tab/>
      </w:r>
      <w:r>
        <w:rPr>
          <w:color w:val="000000" w:themeColor="text1"/>
          <w14:textFill>
            <w14:solidFill>
              <w14:schemeClr w14:val="tx1"/>
            </w14:solidFill>
          </w14:textFill>
        </w:rPr>
        <w:t>D．①②③</w:t>
      </w:r>
    </w:p>
    <w:p w14:paraId="1A0DE70B">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2．限期治理制度的治理类型有（</w:t>
      </w:r>
      <w:r>
        <w:rPr>
          <w:rFonts w:ascii="Times New Roman" w:eastAsia="Times New Roman" w:hAnsi="Times New Roman" w:cs="Times New Roman"/>
          <w:color w:val="000000" w:themeColor="text1"/>
          <w:kern w:val="0"/>
          <w:sz w:val="24"/>
          <w:szCs w:val="24"/>
          <w14:textFill>
            <w14:solidFill>
              <w14:schemeClr w14:val="tx1"/>
            </w14:solidFill>
          </w14:textFill>
        </w:rPr>
        <w:t>   </w:t>
      </w:r>
      <w:r>
        <w:rPr>
          <w:color w:val="000000" w:themeColor="text1"/>
          <w14:textFill>
            <w14:solidFill>
              <w14:schemeClr w14:val="tx1"/>
            </w14:solidFill>
          </w14:textFill>
        </w:rPr>
        <w:t>）</w:t>
      </w:r>
    </w:p>
    <w:p w14:paraId="12125BFA">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①区域或流域的限期治理②行业的限期治理③点源的限期治理④目标的限期治理</w:t>
      </w:r>
    </w:p>
    <w:p w14:paraId="134D9B98">
      <w:pPr>
        <w:shd w:val="clear" w:color="auto" w:fill="auto"/>
        <w:tabs>
          <w:tab w:val="left" w:pos="2078"/>
          <w:tab w:val="left" w:pos="4156"/>
          <w:tab w:val="left" w:pos="6234"/>
        </w:tabs>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A．①②④</w:t>
      </w:r>
      <w:r>
        <w:rPr>
          <w:color w:val="000000" w:themeColor="text1"/>
          <w14:textFill>
            <w14:solidFill>
              <w14:schemeClr w14:val="tx1"/>
            </w14:solidFill>
          </w14:textFill>
        </w:rPr>
        <w:tab/>
      </w:r>
      <w:r>
        <w:rPr>
          <w:color w:val="000000" w:themeColor="text1"/>
          <w14:textFill>
            <w14:solidFill>
              <w14:schemeClr w14:val="tx1"/>
            </w14:solidFill>
          </w14:textFill>
        </w:rPr>
        <w:t>B．②③④</w:t>
      </w:r>
      <w:r>
        <w:rPr>
          <w:color w:val="000000" w:themeColor="text1"/>
          <w14:textFill>
            <w14:solidFill>
              <w14:schemeClr w14:val="tx1"/>
            </w14:solidFill>
          </w14:textFill>
        </w:rPr>
        <w:tab/>
      </w:r>
      <w:r>
        <w:rPr>
          <w:color w:val="000000" w:themeColor="text1"/>
          <w14:textFill>
            <w14:solidFill>
              <w14:schemeClr w14:val="tx1"/>
            </w14:solidFill>
          </w14:textFill>
        </w:rPr>
        <w:t>C．①③④</w:t>
      </w:r>
      <w:r>
        <w:rPr>
          <w:color w:val="000000" w:themeColor="text1"/>
          <w14:textFill>
            <w14:solidFill>
              <w14:schemeClr w14:val="tx1"/>
            </w14:solidFill>
          </w14:textFill>
        </w:rPr>
        <w:tab/>
      </w:r>
      <w:r>
        <w:rPr>
          <w:color w:val="000000" w:themeColor="text1"/>
          <w14:textFill>
            <w14:solidFill>
              <w14:schemeClr w14:val="tx1"/>
            </w14:solidFill>
          </w14:textFill>
        </w:rPr>
        <w:t>D．①②③</w:t>
      </w:r>
    </w:p>
    <w:p w14:paraId="7E4907DC">
      <w:pPr>
        <w:shd w:val="clear" w:color="auto" w:fill="auto"/>
        <w:spacing w:line="360" w:lineRule="auto"/>
        <w:ind w:firstLine="420"/>
        <w:jc w:val="left"/>
        <w:rPr>
          <w:color w:val="000000" w:themeColor="text1"/>
          <w14:textFill>
            <w14:solidFill>
              <w14:schemeClr w14:val="tx1"/>
            </w14:solidFill>
          </w14:textFill>
        </w:rPr>
      </w:pPr>
      <w:r>
        <w:rPr>
          <w:rFonts w:eastAsia="楷体" w:hint="eastAsia"/>
          <w:color w:val="000000" w:themeColor="text1"/>
          <w:lang w:val="en-US" w:eastAsia="zh-CN"/>
          <w14:textFill>
            <w14:solidFill>
              <w14:schemeClr w14:val="tx1"/>
            </w14:solidFill>
          </w14:textFill>
        </w:rPr>
        <w:t xml:space="preserve"> </w:t>
      </w:r>
      <w:r>
        <w:rPr>
          <w:rFonts w:ascii="楷体" w:eastAsia="楷体" w:hAnsi="楷体" w:cs="楷体"/>
          <w:color w:val="000000" w:themeColor="text1"/>
          <w14:textFill>
            <w14:solidFill>
              <w14:schemeClr w14:val="tx1"/>
            </w14:solidFill>
          </w14:textFill>
        </w:rPr>
        <w:t>我国已将“环境保护”确定为一项基本国策，并在实践中逐步形成了一系列符合我国国情的环境保护的原则和制度。据此完成下面小题。</w:t>
      </w:r>
    </w:p>
    <w:p w14:paraId="5455169E">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3．“全面规划，合理布局，综合利用，化害为利，依靠群众，大家动手，保护环境，造福人民”属于我国的（</w:t>
      </w:r>
      <w:r>
        <w:rPr>
          <w:rFonts w:ascii="Times New Roman" w:eastAsia="Times New Roman" w:hAnsi="Times New Roman" w:cs="Times New Roman"/>
          <w:color w:val="000000" w:themeColor="text1"/>
          <w:kern w:val="0"/>
          <w:sz w:val="24"/>
          <w:szCs w:val="24"/>
          <w14:textFill>
            <w14:solidFill>
              <w14:schemeClr w14:val="tx1"/>
            </w14:solidFill>
          </w14:textFill>
        </w:rPr>
        <w:t>   </w:t>
      </w:r>
      <w:r>
        <w:rPr>
          <w:color w:val="000000" w:themeColor="text1"/>
          <w14:textFill>
            <w14:solidFill>
              <w14:schemeClr w14:val="tx1"/>
            </w14:solidFill>
          </w14:textFill>
        </w:rPr>
        <w:t>）</w:t>
      </w:r>
    </w:p>
    <w:p w14:paraId="4C9F6B1A">
      <w:pPr>
        <w:shd w:val="clear" w:color="auto" w:fill="auto"/>
        <w:tabs>
          <w:tab w:val="left" w:pos="4156"/>
        </w:tabs>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A．环境保护的基本方针</w:t>
      </w:r>
      <w:r>
        <w:rPr>
          <w:color w:val="000000" w:themeColor="text1"/>
          <w14:textFill>
            <w14:solidFill>
              <w14:schemeClr w14:val="tx1"/>
            </w14:solidFill>
          </w14:textFill>
        </w:rPr>
        <w:tab/>
      </w:r>
      <w:r>
        <w:rPr>
          <w:color w:val="000000" w:themeColor="text1"/>
          <w14:textFill>
            <w14:solidFill>
              <w14:schemeClr w14:val="tx1"/>
            </w14:solidFill>
          </w14:textFill>
        </w:rPr>
        <w:t>B．环境保护的基本原则</w:t>
      </w:r>
    </w:p>
    <w:p w14:paraId="2A4EE227">
      <w:pPr>
        <w:shd w:val="clear" w:color="auto" w:fill="auto"/>
        <w:tabs>
          <w:tab w:val="left" w:pos="4156"/>
        </w:tabs>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C．环境保护的制度</w:t>
      </w:r>
      <w:r>
        <w:rPr>
          <w:color w:val="000000" w:themeColor="text1"/>
          <w14:textFill>
            <w14:solidFill>
              <w14:schemeClr w14:val="tx1"/>
            </w14:solidFill>
          </w14:textFill>
        </w:rPr>
        <w:tab/>
      </w:r>
      <w:r>
        <w:rPr>
          <w:color w:val="000000" w:themeColor="text1"/>
          <w14:textFill>
            <w14:solidFill>
              <w14:schemeClr w14:val="tx1"/>
            </w14:solidFill>
          </w14:textFill>
        </w:rPr>
        <w:t>D．环境保护的政策</w:t>
      </w:r>
    </w:p>
    <w:p w14:paraId="3BC83CE5">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4．关于环境影响评价制度的叙述，正确的是（</w:t>
      </w:r>
      <w:r>
        <w:rPr>
          <w:rFonts w:ascii="Times New Roman" w:eastAsia="Times New Roman" w:hAnsi="Times New Roman" w:cs="Times New Roman"/>
          <w:color w:val="000000" w:themeColor="text1"/>
          <w:kern w:val="0"/>
          <w:sz w:val="24"/>
          <w:szCs w:val="24"/>
          <w14:textFill>
            <w14:solidFill>
              <w14:schemeClr w14:val="tx1"/>
            </w14:solidFill>
          </w14:textFill>
        </w:rPr>
        <w:t>   </w:t>
      </w:r>
      <w:r>
        <w:rPr>
          <w:color w:val="000000" w:themeColor="text1"/>
          <w14:textFill>
            <w14:solidFill>
              <w14:schemeClr w14:val="tx1"/>
            </w14:solidFill>
          </w14:textFill>
        </w:rPr>
        <w:t>）</w:t>
      </w:r>
    </w:p>
    <w:p w14:paraId="51EB7E87">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①环境影响评价制度和“三同时”制度，是我国贯彻“强化环境管理”的方针，控制新污染的两项主要制度</w:t>
      </w:r>
    </w:p>
    <w:p w14:paraId="43B66967">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②环境影响评价为制定区域经济发展规划提供科学依据</w:t>
      </w:r>
    </w:p>
    <w:p w14:paraId="22949730">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③环境影响评价制度就是一种较为有效的预防手段</w:t>
      </w:r>
    </w:p>
    <w:p w14:paraId="20C3275E">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④环境影响评价制度是对传统的经济发展方式的重大改革</w:t>
      </w:r>
    </w:p>
    <w:p w14:paraId="3194BA1D">
      <w:pPr>
        <w:shd w:val="clear" w:color="auto" w:fill="auto"/>
        <w:tabs>
          <w:tab w:val="left" w:pos="2078"/>
          <w:tab w:val="left" w:pos="4156"/>
          <w:tab w:val="left" w:pos="6234"/>
        </w:tabs>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A．①②③</w:t>
      </w:r>
      <w:r>
        <w:rPr>
          <w:color w:val="000000" w:themeColor="text1"/>
          <w14:textFill>
            <w14:solidFill>
              <w14:schemeClr w14:val="tx1"/>
            </w14:solidFill>
          </w14:textFill>
        </w:rPr>
        <w:tab/>
      </w:r>
      <w:r>
        <w:rPr>
          <w:color w:val="000000" w:themeColor="text1"/>
          <w14:textFill>
            <w14:solidFill>
              <w14:schemeClr w14:val="tx1"/>
            </w14:solidFill>
          </w14:textFill>
        </w:rPr>
        <w:t>B．②③④</w:t>
      </w:r>
      <w:r>
        <w:rPr>
          <w:color w:val="000000" w:themeColor="text1"/>
          <w14:textFill>
            <w14:solidFill>
              <w14:schemeClr w14:val="tx1"/>
            </w14:solidFill>
          </w14:textFill>
        </w:rPr>
        <w:tab/>
      </w:r>
      <w:r>
        <w:rPr>
          <w:color w:val="000000" w:themeColor="text1"/>
          <w14:textFill>
            <w14:solidFill>
              <w14:schemeClr w14:val="tx1"/>
            </w14:solidFill>
          </w14:textFill>
        </w:rPr>
        <w:t>C．①③④</w:t>
      </w:r>
      <w:r>
        <w:rPr>
          <w:color w:val="000000" w:themeColor="text1"/>
          <w14:textFill>
            <w14:solidFill>
              <w14:schemeClr w14:val="tx1"/>
            </w14:solidFill>
          </w14:textFill>
        </w:rPr>
        <w:tab/>
      </w:r>
      <w:r>
        <w:rPr>
          <w:color w:val="000000" w:themeColor="text1"/>
          <w14:textFill>
            <w14:solidFill>
              <w14:schemeClr w14:val="tx1"/>
            </w14:solidFill>
          </w14:textFill>
        </w:rPr>
        <w:t>D．①②④</w:t>
      </w:r>
    </w:p>
    <w:p w14:paraId="51FFA641">
      <w:pPr>
        <w:shd w:val="clear" w:color="auto" w:fill="auto"/>
        <w:spacing w:line="360" w:lineRule="auto"/>
        <w:ind w:firstLine="420"/>
        <w:jc w:val="left"/>
        <w:rPr>
          <w:rFonts w:ascii="楷体" w:eastAsia="楷体" w:hAnsi="楷体" w:cs="楷体"/>
          <w:color w:val="000000" w:themeColor="text1"/>
          <w14:textFill>
            <w14:solidFill>
              <w14:schemeClr w14:val="tx1"/>
            </w14:solidFill>
          </w14:textFill>
        </w:rPr>
      </w:pPr>
      <w:r>
        <w:rPr>
          <w:rFonts w:eastAsia="楷体" w:hint="eastAsia"/>
          <w:color w:val="000000" w:themeColor="text1"/>
          <w:lang w:val="en-US" w:eastAsia="zh-CN"/>
          <w14:textFill>
            <w14:solidFill>
              <w14:schemeClr w14:val="tx1"/>
            </w14:solidFill>
          </w14:textFill>
        </w:rPr>
        <w:t xml:space="preserve"> </w:t>
      </w:r>
      <w:r>
        <w:rPr>
          <w:rFonts w:ascii="楷体" w:eastAsia="楷体" w:hAnsi="楷体" w:cs="楷体"/>
          <w:color w:val="000000" w:themeColor="text1"/>
          <w14:textFill>
            <w14:solidFill>
              <w14:schemeClr w14:val="tx1"/>
            </w14:solidFill>
          </w14:textFill>
        </w:rPr>
        <w:t>莱茵河是欧洲的一条国际性河流，1986年瑞士一家化工厂着火，大量化学原料注入莱茵河，引发了一场跨越国界的环境灾难。这场灾难促成沿岸各国实施“莱茵河生态系统整体恢复计划”。经过综合治理，莱茵河河水清澈，两岸景观秀美迷人。下图示意1986年莱茵河跨境污染事件。据此完成下面小题。</w:t>
      </w:r>
    </w:p>
    <w:p w14:paraId="63658263">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1718310" cy="2018030"/>
            <wp:effectExtent l="0" t="0" r="15240" b="127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xmlns:r="http://schemas.openxmlformats.org/officeDocument/2006/relationships" r:embed="rId5"/>
                    <a:stretch>
                      <a:fillRect/>
                    </a:stretch>
                  </pic:blipFill>
                  <pic:spPr>
                    <a:xfrm>
                      <a:off x="0" y="0"/>
                      <a:ext cx="1718310" cy="2018030"/>
                    </a:xfrm>
                    <a:prstGeom prst="rect">
                      <a:avLst/>
                    </a:prstGeom>
                    <a:noFill/>
                    <a:ln>
                      <a:noFill/>
                    </a:ln>
                  </pic:spPr>
                </pic:pic>
              </a:graphicData>
            </a:graphic>
          </wp:inline>
        </w:drawing>
      </w:r>
    </w:p>
    <w:p w14:paraId="15A7EA51">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5．此次莱茵河跨境污染事件属于（</w:t>
      </w:r>
      <w:r>
        <w:rPr>
          <w:rFonts w:ascii="Times New Roman" w:eastAsia="Times New Roman" w:hAnsi="Times New Roman" w:cs="Times New Roman"/>
          <w:color w:val="000000" w:themeColor="text1"/>
          <w:kern w:val="0"/>
          <w:sz w:val="24"/>
          <w:szCs w:val="24"/>
          <w14:textFill>
            <w14:solidFill>
              <w14:schemeClr w14:val="tx1"/>
            </w14:solidFill>
          </w14:textFill>
        </w:rPr>
        <w:t>   </w:t>
      </w:r>
      <w:r>
        <w:rPr>
          <w:color w:val="000000" w:themeColor="text1"/>
          <w14:textFill>
            <w14:solidFill>
              <w14:schemeClr w14:val="tx1"/>
            </w14:solidFill>
          </w14:textFill>
        </w:rPr>
        <w:t>）</w:t>
      </w:r>
    </w:p>
    <w:p w14:paraId="4DE6F8B1">
      <w:pPr>
        <w:shd w:val="clear" w:color="auto" w:fill="auto"/>
        <w:tabs>
          <w:tab w:val="left" w:pos="4156"/>
        </w:tabs>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A．累积性环境安全问题</w:t>
      </w:r>
      <w:r>
        <w:rPr>
          <w:color w:val="000000" w:themeColor="text1"/>
          <w14:textFill>
            <w14:solidFill>
              <w14:schemeClr w14:val="tx1"/>
            </w14:solidFill>
          </w14:textFill>
        </w:rPr>
        <w:tab/>
      </w:r>
      <w:r>
        <w:rPr>
          <w:color w:val="000000" w:themeColor="text1"/>
          <w14:textFill>
            <w14:solidFill>
              <w14:schemeClr w14:val="tx1"/>
            </w14:solidFill>
          </w14:textFill>
        </w:rPr>
        <w:t>B．污染物跨国传输</w:t>
      </w:r>
    </w:p>
    <w:p w14:paraId="6874630C">
      <w:pPr>
        <w:shd w:val="clear" w:color="auto" w:fill="auto"/>
        <w:tabs>
          <w:tab w:val="left" w:pos="4156"/>
        </w:tabs>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C．有毒物质的产品贸易</w:t>
      </w:r>
      <w:r>
        <w:rPr>
          <w:color w:val="000000" w:themeColor="text1"/>
          <w14:textFill>
            <w14:solidFill>
              <w14:schemeClr w14:val="tx1"/>
            </w14:solidFill>
          </w14:textFill>
        </w:rPr>
        <w:tab/>
      </w:r>
      <w:r>
        <w:rPr>
          <w:color w:val="000000" w:themeColor="text1"/>
          <w14:textFill>
            <w14:solidFill>
              <w14:schemeClr w14:val="tx1"/>
            </w14:solidFill>
          </w14:textFill>
        </w:rPr>
        <w:t>D．废弃物跨国转移</w:t>
      </w:r>
    </w:p>
    <w:p w14:paraId="58ACCABA">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6．莱茵河跨境污染事件给我国的启示是（</w:t>
      </w:r>
      <w:r>
        <w:rPr>
          <w:rFonts w:ascii="Times New Roman" w:eastAsia="Times New Roman" w:hAnsi="Times New Roman" w:cs="Times New Roman"/>
          <w:color w:val="000000" w:themeColor="text1"/>
          <w:kern w:val="0"/>
          <w:sz w:val="24"/>
          <w:szCs w:val="24"/>
          <w14:textFill>
            <w14:solidFill>
              <w14:schemeClr w14:val="tx1"/>
            </w14:solidFill>
          </w14:textFill>
        </w:rPr>
        <w:t>   </w:t>
      </w:r>
      <w:r>
        <w:rPr>
          <w:color w:val="000000" w:themeColor="text1"/>
          <w14:textFill>
            <w14:solidFill>
              <w14:schemeClr w14:val="tx1"/>
            </w14:solidFill>
          </w14:textFill>
        </w:rPr>
        <w:t>）</w:t>
      </w:r>
    </w:p>
    <w:p w14:paraId="7A726B61">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①实行严格的环境准入机制②禁止污染企业跨国投资设厂</w:t>
      </w:r>
    </w:p>
    <w:p w14:paraId="5014C8D1">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③对跨国污染源进行检测预警④完善跨国环境治理的合作机制</w:t>
      </w:r>
    </w:p>
    <w:p w14:paraId="76066FD9">
      <w:pPr>
        <w:shd w:val="clear" w:color="auto" w:fill="auto"/>
        <w:tabs>
          <w:tab w:val="left" w:pos="2078"/>
          <w:tab w:val="left" w:pos="4156"/>
          <w:tab w:val="left" w:pos="6234"/>
        </w:tabs>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A．①②③</w:t>
      </w:r>
      <w:r>
        <w:rPr>
          <w:color w:val="000000" w:themeColor="text1"/>
          <w14:textFill>
            <w14:solidFill>
              <w14:schemeClr w14:val="tx1"/>
            </w14:solidFill>
          </w14:textFill>
        </w:rPr>
        <w:tab/>
      </w:r>
      <w:r>
        <w:rPr>
          <w:color w:val="000000" w:themeColor="text1"/>
          <w14:textFill>
            <w14:solidFill>
              <w14:schemeClr w14:val="tx1"/>
            </w14:solidFill>
          </w14:textFill>
        </w:rPr>
        <w:t>B．②③④</w:t>
      </w:r>
      <w:r>
        <w:rPr>
          <w:color w:val="000000" w:themeColor="text1"/>
          <w14:textFill>
            <w14:solidFill>
              <w14:schemeClr w14:val="tx1"/>
            </w14:solidFill>
          </w14:textFill>
        </w:rPr>
        <w:tab/>
      </w:r>
      <w:r>
        <w:rPr>
          <w:color w:val="000000" w:themeColor="text1"/>
          <w14:textFill>
            <w14:solidFill>
              <w14:schemeClr w14:val="tx1"/>
            </w14:solidFill>
          </w14:textFill>
        </w:rPr>
        <w:t>C．①③④</w:t>
      </w:r>
      <w:r>
        <w:rPr>
          <w:color w:val="000000" w:themeColor="text1"/>
          <w14:textFill>
            <w14:solidFill>
              <w14:schemeClr w14:val="tx1"/>
            </w14:solidFill>
          </w14:textFill>
        </w:rPr>
        <w:tab/>
      </w:r>
      <w:r>
        <w:rPr>
          <w:color w:val="000000" w:themeColor="text1"/>
          <w14:textFill>
            <w14:solidFill>
              <w14:schemeClr w14:val="tx1"/>
            </w14:solidFill>
          </w14:textFill>
        </w:rPr>
        <w:t>D．①②③④</w:t>
      </w:r>
    </w:p>
    <w:p w14:paraId="76DCE951">
      <w:pPr>
        <w:shd w:val="clear" w:color="auto" w:fill="auto"/>
        <w:spacing w:line="360" w:lineRule="auto"/>
        <w:ind w:firstLine="420"/>
        <w:jc w:val="left"/>
        <w:rPr>
          <w:rFonts w:ascii="楷体" w:eastAsia="楷体" w:hAnsi="楷体" w:cs="楷体"/>
          <w:color w:val="000000" w:themeColor="text1"/>
          <w14:textFill>
            <w14:solidFill>
              <w14:schemeClr w14:val="tx1"/>
            </w14:solidFill>
          </w14:textFill>
        </w:rPr>
      </w:pPr>
      <w:r>
        <w:rPr>
          <w:rFonts w:eastAsia="楷体" w:hint="eastAsia"/>
          <w:color w:val="000000" w:themeColor="text1"/>
          <w:lang w:val="en-US" w:eastAsia="zh-CN"/>
          <w14:textFill>
            <w14:solidFill>
              <w14:schemeClr w14:val="tx1"/>
            </w14:solidFill>
          </w14:textFill>
        </w:rPr>
        <w:t xml:space="preserve"> </w:t>
      </w:r>
      <w:r>
        <w:rPr>
          <w:rFonts w:ascii="楷体" w:eastAsia="楷体" w:hAnsi="楷体" w:cs="楷体"/>
          <w:color w:val="000000" w:themeColor="text1"/>
          <w14:textFill>
            <w14:solidFill>
              <w14:schemeClr w14:val="tx1"/>
            </w14:solidFill>
          </w14:textFill>
        </w:rPr>
        <w:t>以人为本,合理布局生活垃圾收集点,并对垃圾分类回收,是落实科学发展观、建设和谐社会的重要途径。读下图,完成下面小题。</w:t>
      </w:r>
    </w:p>
    <w:p w14:paraId="01A7FE71">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456815" cy="1728470"/>
            <wp:effectExtent l="0" t="0" r="635" b="508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xmlns:r="http://schemas.openxmlformats.org/officeDocument/2006/relationships" r:embed="rId6"/>
                    <a:stretch>
                      <a:fillRect/>
                    </a:stretch>
                  </pic:blipFill>
                  <pic:spPr>
                    <a:xfrm>
                      <a:off x="0" y="0"/>
                      <a:ext cx="2456815" cy="1728470"/>
                    </a:xfrm>
                    <a:prstGeom prst="rect">
                      <a:avLst/>
                    </a:prstGeom>
                    <a:noFill/>
                    <a:ln>
                      <a:noFill/>
                    </a:ln>
                  </pic:spPr>
                </pic:pic>
              </a:graphicData>
            </a:graphic>
          </wp:inline>
        </w:drawing>
      </w:r>
    </w:p>
    <w:p w14:paraId="396D6FB5">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7．四图中垃圾收集点布局较为合理的有（</w:t>
      </w:r>
      <w:r>
        <w:rPr>
          <w:rFonts w:ascii="Times New Roman" w:eastAsia="Times New Roman" w:hAnsi="Times New Roman" w:cs="Times New Roman"/>
          <w:color w:val="000000" w:themeColor="text1"/>
          <w:kern w:val="0"/>
          <w:sz w:val="24"/>
          <w:szCs w:val="24"/>
          <w14:textFill>
            <w14:solidFill>
              <w14:schemeClr w14:val="tx1"/>
            </w14:solidFill>
          </w14:textFill>
        </w:rPr>
        <w:t>   </w:t>
      </w:r>
      <w:r>
        <w:rPr>
          <w:color w:val="000000" w:themeColor="text1"/>
          <w14:textFill>
            <w14:solidFill>
              <w14:schemeClr w14:val="tx1"/>
            </w14:solidFill>
          </w14:textFill>
        </w:rPr>
        <w:t>）</w:t>
      </w:r>
    </w:p>
    <w:p w14:paraId="3F0F3806">
      <w:pPr>
        <w:shd w:val="clear" w:color="auto" w:fill="auto"/>
        <w:tabs>
          <w:tab w:val="left" w:pos="4156"/>
        </w:tabs>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A．甲、乙</w:t>
      </w:r>
      <w:r>
        <w:rPr>
          <w:color w:val="000000" w:themeColor="text1"/>
          <w14:textFill>
            <w14:solidFill>
              <w14:schemeClr w14:val="tx1"/>
            </w14:solidFill>
          </w14:textFill>
        </w:rPr>
        <w:tab/>
      </w:r>
      <w:r>
        <w:rPr>
          <w:color w:val="000000" w:themeColor="text1"/>
          <w14:textFill>
            <w14:solidFill>
              <w14:schemeClr w14:val="tx1"/>
            </w14:solidFill>
          </w14:textFill>
        </w:rPr>
        <w:t>B．乙、丙</w:t>
      </w:r>
    </w:p>
    <w:p w14:paraId="3DF162EB">
      <w:pPr>
        <w:shd w:val="clear" w:color="auto" w:fill="auto"/>
        <w:tabs>
          <w:tab w:val="left" w:pos="4156"/>
        </w:tabs>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C．丙、丁</w:t>
      </w:r>
      <w:r>
        <w:rPr>
          <w:color w:val="000000" w:themeColor="text1"/>
          <w14:textFill>
            <w14:solidFill>
              <w14:schemeClr w14:val="tx1"/>
            </w14:solidFill>
          </w14:textFill>
        </w:rPr>
        <w:tab/>
      </w:r>
      <w:r>
        <w:rPr>
          <w:color w:val="000000" w:themeColor="text1"/>
          <w14:textFill>
            <w14:solidFill>
              <w14:schemeClr w14:val="tx1"/>
            </w14:solidFill>
          </w14:textFill>
        </w:rPr>
        <w:t>D．甲、丁</w:t>
      </w:r>
    </w:p>
    <w:p w14:paraId="110606DB">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8．小区按规划合理布局了垃圾分类回收箱,但使用效果不佳,其主要原因可能有（</w:t>
      </w:r>
      <w:r>
        <w:rPr>
          <w:rFonts w:ascii="Times New Roman" w:eastAsia="Times New Roman" w:hAnsi="Times New Roman" w:cs="Times New Roman"/>
          <w:color w:val="000000" w:themeColor="text1"/>
          <w:kern w:val="0"/>
          <w:sz w:val="24"/>
          <w:szCs w:val="24"/>
          <w14:textFill>
            <w14:solidFill>
              <w14:schemeClr w14:val="tx1"/>
            </w14:solidFill>
          </w14:textFill>
        </w:rPr>
        <w:t>   </w:t>
      </w:r>
      <w:r>
        <w:rPr>
          <w:color w:val="000000" w:themeColor="text1"/>
          <w14:textFill>
            <w14:solidFill>
              <w14:schemeClr w14:val="tx1"/>
            </w14:solidFill>
          </w14:textFill>
        </w:rPr>
        <w:t>）</w:t>
      </w:r>
    </w:p>
    <w:p w14:paraId="6BD59092">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①居民环境保护意识较差②生活垃圾数量较少</w:t>
      </w:r>
    </w:p>
    <w:p w14:paraId="4AE3A72A">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③垃圾分类回收箱布局不合理④居民对垃圾分类标准模糊</w:t>
      </w:r>
    </w:p>
    <w:p w14:paraId="139140E3">
      <w:pPr>
        <w:shd w:val="clear" w:color="auto" w:fill="auto"/>
        <w:tabs>
          <w:tab w:val="left" w:pos="4156"/>
        </w:tabs>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A．①②</w:t>
      </w:r>
      <w:r>
        <w:rPr>
          <w:color w:val="000000" w:themeColor="text1"/>
          <w14:textFill>
            <w14:solidFill>
              <w14:schemeClr w14:val="tx1"/>
            </w14:solidFill>
          </w14:textFill>
        </w:rPr>
        <w:tab/>
      </w:r>
      <w:r>
        <w:rPr>
          <w:color w:val="000000" w:themeColor="text1"/>
          <w14:textFill>
            <w14:solidFill>
              <w14:schemeClr w14:val="tx1"/>
            </w14:solidFill>
          </w14:textFill>
        </w:rPr>
        <w:t>B．③④</w:t>
      </w:r>
    </w:p>
    <w:p w14:paraId="08C2B74F">
      <w:pPr>
        <w:shd w:val="clear" w:color="auto" w:fill="auto"/>
        <w:tabs>
          <w:tab w:val="left" w:pos="4156"/>
        </w:tabs>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C．②③</w:t>
      </w:r>
      <w:r>
        <w:rPr>
          <w:color w:val="000000" w:themeColor="text1"/>
          <w14:textFill>
            <w14:solidFill>
              <w14:schemeClr w14:val="tx1"/>
            </w14:solidFill>
          </w14:textFill>
        </w:rPr>
        <w:tab/>
      </w:r>
      <w:r>
        <w:rPr>
          <w:color w:val="000000" w:themeColor="text1"/>
          <w14:textFill>
            <w14:solidFill>
              <w14:schemeClr w14:val="tx1"/>
            </w14:solidFill>
          </w14:textFill>
        </w:rPr>
        <w:t>D．①④</w:t>
      </w:r>
    </w:p>
    <w:p w14:paraId="0AE7515B">
      <w:pPr>
        <w:pStyle w:val="PlainText"/>
        <w:tabs>
          <w:tab w:val="left" w:pos="4139"/>
        </w:tabs>
        <w:snapToGrid w:val="0"/>
        <w:spacing w:line="360" w:lineRule="auto"/>
        <w:ind w:firstLine="420" w:firstLineChars="200"/>
        <w:jc w:val="both"/>
        <w:rPr>
          <w:rFonts w:hAnsi="宋体" w:cs="Times New Roman" w:hint="eastAsia"/>
          <w:b w:val="0"/>
          <w:bCs/>
          <w:color w:val="000000" w:themeColor="text1"/>
          <w:sz w:val="21"/>
          <w:szCs w:val="21"/>
          <w14:textFill>
            <w14:solidFill>
              <w14:schemeClr w14:val="tx1"/>
            </w14:solidFill>
          </w14:textFill>
        </w:rPr>
      </w:pPr>
      <w:r>
        <w:rPr>
          <w:rFonts w:eastAsia="楷体_GB2312" w:hint="eastAsia"/>
          <w:color w:val="000000" w:themeColor="text1"/>
          <w:lang w:val="en-US" w:eastAsia="zh-CN"/>
          <w14:textFill>
            <w14:solidFill>
              <w14:schemeClr w14:val="tx1"/>
            </w14:solidFill>
          </w14:textFill>
        </w:rPr>
        <w:t xml:space="preserve"> </w:t>
      </w:r>
      <w:r>
        <w:rPr>
          <w:rFonts w:ascii="Times New Roman" w:eastAsia="楷体_GB2312" w:hAnsi="Times New Roman" w:cs="Times New Roman"/>
          <w:b w:val="0"/>
          <w:bCs/>
          <w:color w:val="000000" w:themeColor="text1"/>
          <w:sz w:val="21"/>
          <w:szCs w:val="21"/>
          <w14:textFill>
            <w14:solidFill>
              <w14:schemeClr w14:val="tx1"/>
            </w14:solidFill>
          </w14:textFill>
        </w:rPr>
        <w:t>城市生态安全是指维护城市发展所需的生态环境能</w:t>
      </w:r>
      <w:r>
        <w:rPr>
          <w:rFonts w:ascii="Times New Roman" w:eastAsia="楷体_GB2312" w:hAnsi="Times New Roman" w:cs="Times New Roman" w:hint="eastAsia"/>
          <w:b w:val="0"/>
          <w:bCs/>
          <w:color w:val="000000" w:themeColor="text1"/>
          <w:sz w:val="21"/>
          <w:szCs w:val="21"/>
          <w14:textFill>
            <w14:solidFill>
              <w14:schemeClr w14:val="tx1"/>
            </w14:solidFill>
          </w14:textFill>
        </w:rPr>
        <w:t>满足城市当前和未来发展需要的一种城市发展状况</w:t>
      </w:r>
      <w:r>
        <w:rPr>
          <w:rFonts w:hAnsi="宋体" w:cs="MingLiU_HKSCS" w:hint="eastAsia"/>
          <w:b w:val="0"/>
          <w:bCs/>
          <w:color w:val="000000" w:themeColor="text1"/>
          <w:sz w:val="21"/>
          <w:szCs w:val="21"/>
          <w14:textFill>
            <w14:solidFill>
              <w14:schemeClr w14:val="tx1"/>
            </w14:solidFill>
          </w14:textFill>
        </w:rPr>
        <w:t>，</w:t>
      </w:r>
      <w:r>
        <w:rPr>
          <w:rFonts w:ascii="Times New Roman" w:eastAsia="楷体_GB2312" w:hAnsi="Times New Roman" w:cs="Times New Roman" w:hint="eastAsia"/>
          <w:b w:val="0"/>
          <w:bCs/>
          <w:color w:val="000000" w:themeColor="text1"/>
          <w:sz w:val="21"/>
          <w:szCs w:val="21"/>
          <w14:textFill>
            <w14:solidFill>
              <w14:schemeClr w14:val="tx1"/>
            </w14:solidFill>
          </w14:textFill>
        </w:rPr>
        <w:t>是一个国家或地区生态安全的基础和核心。评价综合指数越大</w:t>
      </w:r>
      <w:r>
        <w:rPr>
          <w:rFonts w:hAnsi="宋体" w:cs="MingLiU_HKSCS" w:hint="eastAsia"/>
          <w:b w:val="0"/>
          <w:bCs/>
          <w:color w:val="000000" w:themeColor="text1"/>
          <w:sz w:val="21"/>
          <w:szCs w:val="21"/>
          <w14:textFill>
            <w14:solidFill>
              <w14:schemeClr w14:val="tx1"/>
            </w14:solidFill>
          </w14:textFill>
        </w:rPr>
        <w:t>，</w:t>
      </w:r>
      <w:r>
        <w:rPr>
          <w:rFonts w:ascii="Times New Roman" w:eastAsia="楷体_GB2312" w:hAnsi="Times New Roman" w:cs="Times New Roman" w:hint="eastAsia"/>
          <w:b w:val="0"/>
          <w:bCs/>
          <w:color w:val="000000" w:themeColor="text1"/>
          <w:sz w:val="21"/>
          <w:szCs w:val="21"/>
          <w14:textFill>
            <w14:solidFill>
              <w14:schemeClr w14:val="tx1"/>
            </w14:solidFill>
          </w14:textFill>
        </w:rPr>
        <w:t>安全度越高。</w:t>
      </w:r>
      <w:r>
        <w:rPr>
          <w:rFonts w:ascii="Times New Roman" w:hAnsi="Times New Roman" w:cs="Times New Roman"/>
          <w:b w:val="0"/>
          <w:bCs/>
          <w:color w:val="000000" w:themeColor="text1"/>
          <w:sz w:val="21"/>
          <w:szCs w:val="21"/>
          <w14:textFill>
            <w14:solidFill>
              <w14:schemeClr w14:val="tx1"/>
            </w14:solidFill>
          </w14:textFill>
        </w:rPr>
        <w:t>读</w:t>
      </w:r>
      <w:r>
        <w:rPr>
          <w:rFonts w:ascii="Times New Roman" w:eastAsia="楷体_GB2312" w:hAnsi="Times New Roman" w:cs="Times New Roman" w:hint="eastAsia"/>
          <w:b w:val="0"/>
          <w:bCs/>
          <w:color w:val="000000" w:themeColor="text1"/>
          <w:sz w:val="21"/>
          <w:szCs w:val="21"/>
          <w14:textFill>
            <w14:solidFill>
              <w14:schemeClr w14:val="tx1"/>
            </w14:solidFill>
          </w14:textFill>
        </w:rPr>
        <w:t>1978</w:t>
      </w:r>
      <w:r>
        <w:rPr>
          <w:rFonts w:ascii="Times New Roman" w:eastAsia="楷体_GB2312" w:hAnsi="Times New Roman" w:cs="Times New Roman"/>
          <w:b w:val="0"/>
          <w:bCs/>
          <w:color w:val="000000" w:themeColor="text1"/>
          <w:sz w:val="21"/>
          <w:szCs w:val="21"/>
          <w14:textFill>
            <w14:solidFill>
              <w14:schemeClr w14:val="tx1"/>
            </w14:solidFill>
          </w14:textFill>
        </w:rPr>
        <w:t>～2006年宝鸡城市生态安全指数的变化</w:t>
      </w:r>
      <w:r>
        <w:rPr>
          <w:rFonts w:ascii="Times New Roman" w:hAnsi="Times New Roman" w:cs="Times New Roman"/>
          <w:b w:val="0"/>
          <w:bCs/>
          <w:color w:val="000000" w:themeColor="text1"/>
          <w:sz w:val="21"/>
          <w:szCs w:val="21"/>
          <w14:textFill>
            <w14:solidFill>
              <w14:schemeClr w14:val="tx1"/>
            </w14:solidFill>
          </w14:textFill>
        </w:rPr>
        <w:t>图</w:t>
      </w:r>
      <w:r>
        <w:rPr>
          <w:rFonts w:hAnsi="宋体" w:cs="Times New Roman" w:hint="eastAsia"/>
          <w:b w:val="0"/>
          <w:bCs/>
          <w:color w:val="000000" w:themeColor="text1"/>
          <w:sz w:val="21"/>
          <w:szCs w:val="21"/>
          <w14:textFill>
            <w14:solidFill>
              <w14:schemeClr w14:val="tx1"/>
            </w14:solidFill>
          </w14:textFill>
        </w:rPr>
        <w:t>，</w:t>
      </w:r>
      <w:r>
        <w:rPr>
          <w:rFonts w:ascii="Times New Roman" w:hAnsi="Times New Roman" w:cs="Times New Roman"/>
          <w:b w:val="0"/>
          <w:bCs/>
          <w:color w:val="000000" w:themeColor="text1"/>
          <w:sz w:val="21"/>
          <w:szCs w:val="21"/>
          <w14:textFill>
            <w14:solidFill>
              <w14:schemeClr w14:val="tx1"/>
            </w14:solidFill>
          </w14:textFill>
        </w:rPr>
        <w:t>回答</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下列问</w:t>
      </w:r>
      <w:r>
        <w:rPr>
          <w:rFonts w:ascii="Times New Roman" w:hAnsi="Times New Roman" w:cs="Times New Roman"/>
          <w:b w:val="0"/>
          <w:bCs/>
          <w:color w:val="000000" w:themeColor="text1"/>
          <w:sz w:val="21"/>
          <w:szCs w:val="21"/>
          <w14:textFill>
            <w14:solidFill>
              <w14:schemeClr w14:val="tx1"/>
            </w14:solidFill>
          </w14:textFill>
        </w:rPr>
        <w:t>题。</w:t>
      </w:r>
    </w:p>
    <w:p w14:paraId="2A2BD4D6">
      <w:pPr>
        <w:pStyle w:val="PlainText"/>
        <w:tabs>
          <w:tab w:val="left" w:pos="4139"/>
        </w:tabs>
        <w:snapToGrid w:val="0"/>
        <w:spacing w:line="360" w:lineRule="auto"/>
        <w:rPr>
          <w:rFonts w:hAnsi="宋体" w:cs="Times New Roman" w:hint="eastAsia"/>
          <w:b w:val="0"/>
          <w:bCs/>
          <w:color w:val="000000" w:themeColor="text1"/>
          <w:sz w:val="21"/>
          <w:szCs w:val="21"/>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9</w:t>
      </w:r>
      <w:r>
        <w:rPr>
          <w:rFonts w:ascii="Times New Roman" w:hAnsi="Times New Roman" w:cs="Times New Roman" w:hint="eastAsia"/>
          <w:b w:val="0"/>
          <w:bCs/>
          <w:color w:val="000000" w:themeColor="text1"/>
          <w:sz w:val="21"/>
          <w:szCs w:val="21"/>
          <w14:textFill>
            <w14:solidFill>
              <w14:schemeClr w14:val="tx1"/>
            </w14:solidFill>
          </w14:textFill>
        </w:rPr>
        <w:t>．</w:t>
      </w:r>
      <w:r>
        <w:rPr>
          <w:rFonts w:ascii="Times New Roman" w:hAnsi="Times New Roman" w:cs="Times New Roman"/>
          <w:b w:val="0"/>
          <w:bCs/>
          <w:color w:val="000000" w:themeColor="text1"/>
          <w:sz w:val="21"/>
          <w:szCs w:val="21"/>
          <w14:textFill>
            <w14:solidFill>
              <w14:schemeClr w14:val="tx1"/>
            </w14:solidFill>
          </w14:textFill>
        </w:rPr>
        <w:t>宝鸡城市生态安全指数(　　)</w:t>
      </w:r>
    </w:p>
    <w:p w14:paraId="021851DB">
      <w:pPr>
        <w:pStyle w:val="PlainText"/>
        <w:tabs>
          <w:tab w:val="left" w:pos="4139"/>
        </w:tabs>
        <w:snapToGrid w:val="0"/>
        <w:spacing w:line="360" w:lineRule="auto"/>
        <w:rPr>
          <w:rFonts w:hAnsi="宋体" w:cs="Times New Roman" w:hint="eastAsia"/>
          <w:b w:val="0"/>
          <w:bCs/>
          <w:color w:val="000000" w:themeColor="text1"/>
          <w:sz w:val="21"/>
          <w:szCs w:val="21"/>
          <w14:textFill>
            <w14:solidFill>
              <w14:schemeClr w14:val="tx1"/>
            </w14:solidFill>
          </w14:textFill>
        </w:rPr>
      </w:pPr>
      <w:r>
        <w:rPr>
          <w:rFonts w:ascii="Times New Roman" w:hAnsi="Times New Roman" w:cs="Times New Roman" w:hint="eastAsia"/>
          <w:b w:val="0"/>
          <w:bCs/>
          <w:color w:val="000000" w:themeColor="text1"/>
          <w:sz w:val="21"/>
          <w:szCs w:val="21"/>
          <w14:textFill>
            <w14:solidFill>
              <w14:schemeClr w14:val="tx1"/>
            </w14:solidFill>
          </w14:textFill>
        </w:rPr>
        <w:t>A</w:t>
      </w:r>
      <w:r>
        <w:rPr>
          <w:rFonts w:hAnsi="宋体" w:cs="Times New Roman" w:hint="eastAsia"/>
          <w:b w:val="0"/>
          <w:bCs/>
          <w:color w:val="000000" w:themeColor="text1"/>
          <w:sz w:val="21"/>
          <w:szCs w:val="21"/>
          <w14:textFill>
            <w14:solidFill>
              <w14:schemeClr w14:val="tx1"/>
            </w14:solidFill>
          </w14:textFill>
        </w:rPr>
        <w:t>．</w:t>
      </w:r>
      <w:r>
        <w:rPr>
          <w:rFonts w:ascii="Times New Roman" w:hAnsi="Times New Roman" w:cs="Times New Roman"/>
          <w:b w:val="0"/>
          <w:bCs/>
          <w:color w:val="000000" w:themeColor="text1"/>
          <w:sz w:val="21"/>
          <w:szCs w:val="21"/>
          <w14:textFill>
            <w14:solidFill>
              <w14:schemeClr w14:val="tx1"/>
            </w14:solidFill>
          </w14:textFill>
        </w:rPr>
        <w:t>呈优化趋势</w:t>
      </w:r>
      <w:r>
        <w:rPr>
          <w:rFonts w:ascii="Times New Roman" w:hAnsi="Times New Roman" w:cs="Times New Roman" w:hint="eastAsia"/>
          <w:b w:val="0"/>
          <w:bCs/>
          <w:color w:val="000000" w:themeColor="text1"/>
          <w:sz w:val="21"/>
          <w:szCs w:val="21"/>
          <w14:textFill>
            <w14:solidFill>
              <w14:schemeClr w14:val="tx1"/>
            </w14:solidFill>
          </w14:textFill>
        </w:rPr>
        <w:t>B</w:t>
      </w:r>
      <w:r>
        <w:rPr>
          <w:rFonts w:hAnsi="宋体" w:cs="Times New Roman" w:hint="eastAsia"/>
          <w:b w:val="0"/>
          <w:bCs/>
          <w:color w:val="000000" w:themeColor="text1"/>
          <w:sz w:val="21"/>
          <w:szCs w:val="21"/>
          <w14:textFill>
            <w14:solidFill>
              <w14:schemeClr w14:val="tx1"/>
            </w14:solidFill>
          </w14:textFill>
        </w:rPr>
        <w:t>．</w:t>
      </w:r>
      <w:r>
        <w:rPr>
          <w:rFonts w:ascii="Times New Roman" w:hAnsi="Times New Roman" w:cs="Times New Roman"/>
          <w:b w:val="0"/>
          <w:bCs/>
          <w:color w:val="000000" w:themeColor="text1"/>
          <w:sz w:val="21"/>
          <w:szCs w:val="21"/>
          <w14:textFill>
            <w14:solidFill>
              <w14:schemeClr w14:val="tx1"/>
            </w14:solidFill>
          </w14:textFill>
        </w:rPr>
        <w:t>波动下降</w:t>
      </w:r>
      <w:r>
        <w:rPr>
          <w:rFonts w:ascii="Times New Roman" w:hAnsi="Times New Roman" w:cs="Times New Roman" w:hint="eastAsia"/>
          <w:b w:val="0"/>
          <w:bCs/>
          <w:color w:val="000000" w:themeColor="text1"/>
          <w:sz w:val="21"/>
          <w:szCs w:val="21"/>
          <w14:textFill>
            <w14:solidFill>
              <w14:schemeClr w14:val="tx1"/>
            </w14:solidFill>
          </w14:textFill>
        </w:rPr>
        <w:t>C</w:t>
      </w:r>
      <w:r>
        <w:rPr>
          <w:rFonts w:hAnsi="宋体" w:cs="Times New Roman" w:hint="eastAsia"/>
          <w:b w:val="0"/>
          <w:bCs/>
          <w:color w:val="000000" w:themeColor="text1"/>
          <w:sz w:val="21"/>
          <w:szCs w:val="21"/>
          <w14:textFill>
            <w14:solidFill>
              <w14:schemeClr w14:val="tx1"/>
            </w14:solidFill>
          </w14:textFill>
        </w:rPr>
        <w:t>．</w:t>
      </w:r>
      <w:r>
        <w:rPr>
          <w:rFonts w:ascii="Times New Roman" w:hAnsi="Times New Roman" w:cs="Times New Roman" w:hint="eastAsia"/>
          <w:b w:val="0"/>
          <w:bCs/>
          <w:color w:val="000000" w:themeColor="text1"/>
          <w:sz w:val="21"/>
          <w:szCs w:val="21"/>
          <w14:textFill>
            <w14:solidFill>
              <w14:schemeClr w14:val="tx1"/>
            </w14:solidFill>
          </w14:textFill>
        </w:rPr>
        <w:t>2000</w:t>
      </w:r>
      <w:r>
        <w:rPr>
          <w:rFonts w:ascii="Times New Roman" w:hAnsi="Times New Roman" w:cs="Times New Roman"/>
          <w:b w:val="0"/>
          <w:bCs/>
          <w:color w:val="000000" w:themeColor="text1"/>
          <w:sz w:val="21"/>
          <w:szCs w:val="21"/>
          <w14:textFill>
            <w14:solidFill>
              <w14:schemeClr w14:val="tx1"/>
            </w14:solidFill>
          </w14:textFill>
        </w:rPr>
        <w:t>年以后出现下滑</w:t>
      </w:r>
      <w:r>
        <w:rPr>
          <w:rFonts w:ascii="Times New Roman" w:hAnsi="Times New Roman" w:cs="Times New Roman" w:hint="eastAsia"/>
          <w:b w:val="0"/>
          <w:bCs/>
          <w:color w:val="000000" w:themeColor="text1"/>
          <w:sz w:val="21"/>
          <w:szCs w:val="21"/>
          <w14:textFill>
            <w14:solidFill>
              <w14:schemeClr w14:val="tx1"/>
            </w14:solidFill>
          </w14:textFill>
        </w:rPr>
        <w:t>D</w:t>
      </w:r>
      <w:r>
        <w:rPr>
          <w:rFonts w:hAnsi="宋体" w:cs="Times New Roman" w:hint="eastAsia"/>
          <w:b w:val="0"/>
          <w:bCs/>
          <w:color w:val="000000" w:themeColor="text1"/>
          <w:sz w:val="21"/>
          <w:szCs w:val="21"/>
          <w14:textFill>
            <w14:solidFill>
              <w14:schemeClr w14:val="tx1"/>
            </w14:solidFill>
          </w14:textFill>
        </w:rPr>
        <w:t>．</w:t>
      </w:r>
      <w:r>
        <w:rPr>
          <w:rFonts w:ascii="Times New Roman" w:hAnsi="Times New Roman" w:cs="Times New Roman"/>
          <w:b w:val="0"/>
          <w:bCs/>
          <w:color w:val="000000" w:themeColor="text1"/>
          <w:sz w:val="21"/>
          <w:szCs w:val="21"/>
          <w14:textFill>
            <w14:solidFill>
              <w14:schemeClr w14:val="tx1"/>
            </w14:solidFill>
          </w14:textFill>
        </w:rPr>
        <w:t>介于0.4～0.6为安全状态</w:t>
      </w:r>
    </w:p>
    <w:p w14:paraId="27D56B4F">
      <w:pPr>
        <w:pStyle w:val="PlainText"/>
        <w:tabs>
          <w:tab w:val="left" w:pos="4139"/>
        </w:tabs>
        <w:snapToGrid w:val="0"/>
        <w:spacing w:line="360" w:lineRule="auto"/>
        <w:rPr>
          <w:rFonts w:hAnsi="宋体" w:cs="Times New Roman" w:hint="eastAsia"/>
          <w:b w:val="0"/>
          <w:bCs/>
          <w:color w:val="000000" w:themeColor="text1"/>
          <w:sz w:val="21"/>
          <w:szCs w:val="21"/>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10</w:t>
      </w:r>
      <w:r>
        <w:rPr>
          <w:rFonts w:hAnsi="宋体" w:cs="Times New Roman" w:hint="eastAsia"/>
          <w:b w:val="0"/>
          <w:bCs/>
          <w:color w:val="000000" w:themeColor="text1"/>
          <w:sz w:val="21"/>
          <w:szCs w:val="21"/>
          <w14:textFill>
            <w14:solidFill>
              <w14:schemeClr w14:val="tx1"/>
            </w14:solidFill>
          </w14:textFill>
        </w:rPr>
        <w:t>．</w:t>
      </w:r>
      <w:r>
        <w:rPr>
          <w:rFonts w:ascii="Times New Roman" w:hAnsi="Times New Roman" w:cs="Times New Roman"/>
          <w:b w:val="0"/>
          <w:bCs/>
          <w:color w:val="000000" w:themeColor="text1"/>
          <w:sz w:val="21"/>
          <w:szCs w:val="21"/>
          <w14:textFill>
            <w14:solidFill>
              <w14:schemeClr w14:val="tx1"/>
            </w14:solidFill>
          </w14:textFill>
        </w:rPr>
        <w:t>提高城市生态安全的可持续发展的合理措施有(　　)</w:t>
      </w:r>
    </w:p>
    <w:p w14:paraId="3E1416A9">
      <w:pPr>
        <w:pStyle w:val="PlainText"/>
        <w:tabs>
          <w:tab w:val="left" w:pos="4139"/>
        </w:tabs>
        <w:snapToGrid w:val="0"/>
        <w:spacing w:line="360" w:lineRule="auto"/>
        <w:rPr>
          <w:rFonts w:hAnsi="宋体" w:cs="Times New Roman" w:hint="eastAsia"/>
          <w:b w:val="0"/>
          <w:bCs/>
          <w:color w:val="000000" w:themeColor="text1"/>
          <w:sz w:val="21"/>
          <w:szCs w:val="21"/>
          <w14:textFill>
            <w14:solidFill>
              <w14:schemeClr w14:val="tx1"/>
            </w14:solidFill>
          </w14:textFill>
        </w:rPr>
      </w:pPr>
      <w:r>
        <w:rPr>
          <w:rFonts w:hAnsi="宋体" w:cs="Times New Roman" w:hint="eastAsia"/>
          <w:b w:val="0"/>
          <w:bCs/>
          <w:color w:val="000000" w:themeColor="text1"/>
          <w:sz w:val="21"/>
          <w:szCs w:val="21"/>
          <w14:textFill>
            <w14:solidFill>
              <w14:schemeClr w14:val="tx1"/>
            </w14:solidFill>
          </w14:textFill>
        </w:rPr>
        <w:t>①</w:t>
      </w:r>
      <w:r>
        <w:rPr>
          <w:rFonts w:ascii="Times New Roman" w:hAnsi="Times New Roman" w:cs="Times New Roman"/>
          <w:b w:val="0"/>
          <w:bCs/>
          <w:color w:val="000000" w:themeColor="text1"/>
          <w:sz w:val="21"/>
          <w:szCs w:val="21"/>
          <w14:textFill>
            <w14:solidFill>
              <w14:schemeClr w14:val="tx1"/>
            </w14:solidFill>
          </w14:textFill>
        </w:rPr>
        <w:t>加强城市生态基础设施建设　</w:t>
      </w:r>
      <w:r>
        <w:rPr>
          <w:rFonts w:hAnsi="宋体" w:cs="Times New Roman"/>
          <w:b w:val="0"/>
          <w:bCs/>
          <w:color w:val="000000" w:themeColor="text1"/>
          <w:sz w:val="21"/>
          <w:szCs w:val="21"/>
          <w14:textFill>
            <w14:solidFill>
              <w14:schemeClr w14:val="tx1"/>
            </w14:solidFill>
          </w14:textFill>
        </w:rPr>
        <w:t>②</w:t>
      </w:r>
      <w:r>
        <w:rPr>
          <w:rFonts w:ascii="Times New Roman" w:hAnsi="Times New Roman" w:cs="Times New Roman"/>
          <w:b w:val="0"/>
          <w:bCs/>
          <w:color w:val="000000" w:themeColor="text1"/>
          <w:sz w:val="21"/>
          <w:szCs w:val="21"/>
          <w14:textFill>
            <w14:solidFill>
              <w14:schemeClr w14:val="tx1"/>
            </w14:solidFill>
          </w14:textFill>
        </w:rPr>
        <w:t>加大环境治理投入</w:t>
      </w:r>
    </w:p>
    <w:p w14:paraId="4753C8C2">
      <w:pPr>
        <w:pStyle w:val="PlainText"/>
        <w:tabs>
          <w:tab w:val="left" w:pos="4139"/>
        </w:tabs>
        <w:snapToGrid w:val="0"/>
        <w:spacing w:line="360" w:lineRule="auto"/>
        <w:rPr>
          <w:rFonts w:hAnsi="宋体" w:cs="Times New Roman" w:hint="eastAsia"/>
          <w:b w:val="0"/>
          <w:bCs/>
          <w:color w:val="000000" w:themeColor="text1"/>
          <w:sz w:val="21"/>
          <w:szCs w:val="21"/>
          <w14:textFill>
            <w14:solidFill>
              <w14:schemeClr w14:val="tx1"/>
            </w14:solidFill>
          </w14:textFill>
        </w:rPr>
      </w:pPr>
      <w:r>
        <w:rPr>
          <w:rFonts w:hAnsi="宋体" w:cs="Times New Roman" w:hint="eastAsia"/>
          <w:b w:val="0"/>
          <w:bCs/>
          <w:color w:val="000000" w:themeColor="text1"/>
          <w:sz w:val="21"/>
          <w:szCs w:val="21"/>
          <w14:textFill>
            <w14:solidFill>
              <w14:schemeClr w14:val="tx1"/>
            </w14:solidFill>
          </w14:textFill>
        </w:rPr>
        <w:t>③</w:t>
      </w:r>
      <w:r>
        <w:rPr>
          <w:rFonts w:ascii="Times New Roman" w:hAnsi="Times New Roman" w:cs="Times New Roman"/>
          <w:b w:val="0"/>
          <w:bCs/>
          <w:color w:val="000000" w:themeColor="text1"/>
          <w:sz w:val="21"/>
          <w:szCs w:val="21"/>
          <w14:textFill>
            <w14:solidFill>
              <w14:schemeClr w14:val="tx1"/>
            </w14:solidFill>
          </w14:textFill>
        </w:rPr>
        <w:t>优化产业、能源结构　</w:t>
      </w:r>
      <w:r>
        <w:rPr>
          <w:rFonts w:hAnsi="宋体" w:cs="Times New Roman"/>
          <w:b w:val="0"/>
          <w:bCs/>
          <w:color w:val="000000" w:themeColor="text1"/>
          <w:sz w:val="21"/>
          <w:szCs w:val="21"/>
          <w14:textFill>
            <w14:solidFill>
              <w14:schemeClr w14:val="tx1"/>
            </w14:solidFill>
          </w14:textFill>
        </w:rPr>
        <w:t>④</w:t>
      </w:r>
      <w:r>
        <w:rPr>
          <w:rFonts w:ascii="Times New Roman" w:hAnsi="Times New Roman" w:cs="Times New Roman"/>
          <w:b w:val="0"/>
          <w:bCs/>
          <w:color w:val="000000" w:themeColor="text1"/>
          <w:sz w:val="21"/>
          <w:szCs w:val="21"/>
          <w14:textFill>
            <w14:solidFill>
              <w14:schemeClr w14:val="tx1"/>
            </w14:solidFill>
          </w14:textFill>
        </w:rPr>
        <w:t>增加就业岗位　</w:t>
      </w:r>
      <w:r>
        <w:rPr>
          <w:rFonts w:hAnsi="宋体" w:cs="Times New Roman"/>
          <w:b w:val="0"/>
          <w:bCs/>
          <w:color w:val="000000" w:themeColor="text1"/>
          <w:sz w:val="21"/>
          <w:szCs w:val="21"/>
          <w14:textFill>
            <w14:solidFill>
              <w14:schemeClr w14:val="tx1"/>
            </w14:solidFill>
          </w14:textFill>
        </w:rPr>
        <w:t>⑤</w:t>
      </w:r>
      <w:r>
        <w:rPr>
          <w:rFonts w:ascii="Times New Roman" w:hAnsi="Times New Roman" w:cs="Times New Roman"/>
          <w:b w:val="0"/>
          <w:bCs/>
          <w:color w:val="000000" w:themeColor="text1"/>
          <w:sz w:val="21"/>
          <w:szCs w:val="21"/>
          <w14:textFill>
            <w14:solidFill>
              <w14:schemeClr w14:val="tx1"/>
            </w14:solidFill>
          </w14:textFill>
        </w:rPr>
        <w:t>加强资源的勘探与开发</w:t>
      </w:r>
    </w:p>
    <w:p w14:paraId="76325207">
      <w:pPr>
        <w:pStyle w:val="PlainText"/>
        <w:tabs>
          <w:tab w:val="left" w:pos="4139"/>
        </w:tabs>
        <w:snapToGrid w:val="0"/>
        <w:spacing w:line="360" w:lineRule="auto"/>
        <w:rPr>
          <w:rFonts w:hAnsi="宋体" w:cs="Times New Roman" w:hint="eastAsia"/>
          <w:b w:val="0"/>
          <w:bCs/>
          <w:color w:val="000000" w:themeColor="text1"/>
          <w:sz w:val="21"/>
          <w:szCs w:val="21"/>
          <w14:textFill>
            <w14:solidFill>
              <w14:schemeClr w14:val="tx1"/>
            </w14:solidFill>
          </w14:textFill>
        </w:rPr>
      </w:pPr>
      <w:r>
        <w:rPr>
          <w:rFonts w:ascii="Times New Roman" w:hAnsi="Times New Roman" w:cs="Times New Roman" w:hint="eastAsia"/>
          <w:b w:val="0"/>
          <w:bCs/>
          <w:color w:val="000000" w:themeColor="text1"/>
          <w:sz w:val="21"/>
          <w:szCs w:val="21"/>
          <w14:textFill>
            <w14:solidFill>
              <w14:schemeClr w14:val="tx1"/>
            </w14:solidFill>
          </w14:textFill>
        </w:rPr>
        <w:t>A</w:t>
      </w:r>
      <w:r>
        <w:rPr>
          <w:rFonts w:hAnsi="宋体" w:cs="Times New Roman" w:hint="eastAsia"/>
          <w:b w:val="0"/>
          <w:bCs/>
          <w:color w:val="000000" w:themeColor="text1"/>
          <w:sz w:val="21"/>
          <w:szCs w:val="21"/>
          <w14:textFill>
            <w14:solidFill>
              <w14:schemeClr w14:val="tx1"/>
            </w14:solidFill>
          </w14:textFill>
        </w:rPr>
        <w:t>．①③⑤</w:t>
      </w:r>
      <w:r>
        <w:rPr>
          <w:rFonts w:ascii="Times New Roman" w:hAnsi="Times New Roman" w:cs="Times New Roman"/>
          <w:b w:val="0"/>
          <w:bCs/>
          <w:color w:val="000000" w:themeColor="text1"/>
          <w:sz w:val="21"/>
          <w:szCs w:val="21"/>
          <w14:textFill>
            <w14:solidFill>
              <w14:schemeClr w14:val="tx1"/>
            </w14:solidFill>
          </w14:textFill>
        </w:rPr>
        <w:t>　　B．</w:t>
      </w:r>
      <w:r>
        <w:rPr>
          <w:rFonts w:hAnsi="宋体" w:cs="Times New Roman" w:hint="eastAsia"/>
          <w:b w:val="0"/>
          <w:bCs/>
          <w:color w:val="000000" w:themeColor="text1"/>
          <w:sz w:val="21"/>
          <w:szCs w:val="21"/>
          <w14:textFill>
            <w14:solidFill>
              <w14:schemeClr w14:val="tx1"/>
            </w14:solidFill>
          </w14:textFill>
        </w:rPr>
        <w:t>②④⑤</w:t>
      </w:r>
      <w:r>
        <w:rPr>
          <w:rFonts w:ascii="Times New Roman" w:hAnsi="Times New Roman" w:cs="Times New Roman"/>
          <w:b w:val="0"/>
          <w:bCs/>
          <w:color w:val="000000" w:themeColor="text1"/>
          <w:sz w:val="21"/>
          <w:szCs w:val="21"/>
          <w14:textFill>
            <w14:solidFill>
              <w14:schemeClr w14:val="tx1"/>
            </w14:solidFill>
          </w14:textFill>
        </w:rPr>
        <w:t>　　</w:t>
      </w:r>
      <w:r>
        <w:rPr>
          <w:rFonts w:ascii="Times New Roman" w:hAnsi="Times New Roman" w:cs="Times New Roman" w:hint="eastAsia"/>
          <w:b w:val="0"/>
          <w:bCs/>
          <w:color w:val="000000" w:themeColor="text1"/>
          <w:sz w:val="21"/>
          <w:szCs w:val="21"/>
          <w14:textFill>
            <w14:solidFill>
              <w14:schemeClr w14:val="tx1"/>
            </w14:solidFill>
          </w14:textFill>
        </w:rPr>
        <w:t>C．</w:t>
      </w:r>
      <w:r>
        <w:rPr>
          <w:rFonts w:hAnsi="宋体" w:cs="Times New Roman" w:hint="eastAsia"/>
          <w:b w:val="0"/>
          <w:bCs/>
          <w:color w:val="000000" w:themeColor="text1"/>
          <w:sz w:val="21"/>
          <w:szCs w:val="21"/>
          <w14:textFill>
            <w14:solidFill>
              <w14:schemeClr w14:val="tx1"/>
            </w14:solidFill>
          </w14:textFill>
        </w:rPr>
        <w:t>①②③</w:t>
      </w:r>
      <w:r>
        <w:rPr>
          <w:rFonts w:ascii="Times New Roman" w:hAnsi="Times New Roman" w:cs="Times New Roman"/>
          <w:b w:val="0"/>
          <w:bCs/>
          <w:color w:val="000000" w:themeColor="text1"/>
          <w:sz w:val="21"/>
          <w:szCs w:val="21"/>
          <w14:textFill>
            <w14:solidFill>
              <w14:schemeClr w14:val="tx1"/>
            </w14:solidFill>
          </w14:textFill>
        </w:rPr>
        <w:t>　　D．</w:t>
      </w:r>
      <w:r>
        <w:rPr>
          <w:rFonts w:hAnsi="宋体" w:cs="Times New Roman" w:hint="eastAsia"/>
          <w:b w:val="0"/>
          <w:bCs/>
          <w:color w:val="000000" w:themeColor="text1"/>
          <w:sz w:val="21"/>
          <w:szCs w:val="21"/>
          <w14:textFill>
            <w14:solidFill>
              <w14:schemeClr w14:val="tx1"/>
            </w14:solidFill>
          </w14:textFill>
        </w:rPr>
        <w:t>②③④</w:t>
      </w:r>
    </w:p>
    <w:p w14:paraId="76EC479B">
      <w:pPr>
        <w:shd w:val="clear" w:color="auto" w:fill="auto"/>
        <w:spacing w:line="360" w:lineRule="auto"/>
        <w:ind w:firstLine="420"/>
        <w:jc w:val="left"/>
        <w:rPr>
          <w:rFonts w:ascii="楷体" w:eastAsia="楷体" w:hAnsi="楷体" w:cs="楷体"/>
          <w:color w:val="000000" w:themeColor="text1"/>
          <w14:textFill>
            <w14:solidFill>
              <w14:schemeClr w14:val="tx1"/>
            </w14:solidFill>
          </w14:textFill>
        </w:rPr>
      </w:pPr>
      <w:r>
        <w:rPr>
          <w:rFonts w:ascii="Times New Roman" w:hAnsi="Times New Roman" w:hint="eastAsia"/>
          <w:color w:val="000000" w:themeColor="text1"/>
          <w:lang w:val="en-US" w:eastAsia="zh-CN"/>
          <w14:textFill>
            <w14:solidFill>
              <w14:schemeClr w14:val="tx1"/>
            </w14:solidFill>
          </w14:textFill>
        </w:rPr>
        <w:t xml:space="preserve"> </w:t>
      </w:r>
      <w:r>
        <w:rPr>
          <w:rFonts w:ascii="楷体" w:eastAsia="楷体" w:hAnsi="楷体" w:cs="楷体"/>
          <w:color w:val="000000" w:themeColor="text1"/>
          <w14:textFill>
            <w14:solidFill>
              <w14:schemeClr w14:val="tx1"/>
            </w14:solidFill>
          </w14:textFill>
        </w:rPr>
        <w:t>下图为“2018年2月17日至2月28日无锡市空气质量指数曲线图”（空气质量指数越小，表示空气质量越好，数值超过100即表示有不同程度的污染），下表为该期间无锡市天气状况统计资料。阅读图表完成下面小题。</w:t>
      </w:r>
    </w:p>
    <w:p w14:paraId="75D53FFB">
      <w:pPr>
        <w:shd w:val="clear" w:color="auto" w:fill="auto"/>
        <w:spacing w:line="360" w:lineRule="auto"/>
        <w:jc w:val="left"/>
        <w:rPr>
          <w:rFonts w:ascii="宋体" w:eastAsia="宋体" w:hAnsi="宋体" w:cs="宋体"/>
          <w:b/>
          <w:color w:val="000000" w:themeColor="text1"/>
          <w:sz w:val="21"/>
          <w14:textFill>
            <w14:solidFill>
              <w14:schemeClr w14:val="tx1"/>
            </w14:solidFill>
          </w14:textFill>
        </w:rPr>
      </w:pPr>
      <w:r>
        <w:rPr>
          <w:rFonts w:ascii="宋体" w:eastAsia="宋体" w:hAnsi="宋体" w:cs="宋体"/>
          <w:b/>
          <w:color w:val="000000" w:themeColor="text1"/>
          <w:sz w:val="21"/>
          <w14:textFill>
            <w14:solidFill>
              <w14:schemeClr w14:val="tx1"/>
            </w14:solidFill>
          </w14:textFill>
        </w:rPr>
        <w:drawing>
          <wp:inline distT="0" distB="0" distL="114300" distR="114300">
            <wp:extent cx="2860040" cy="2313305"/>
            <wp:effectExtent l="0" t="0" r="16510" b="10795"/>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xmlns:r="http://schemas.openxmlformats.org/officeDocument/2006/relationships" r:embed="rId7"/>
                    <a:stretch>
                      <a:fillRect/>
                    </a:stretch>
                  </pic:blipFill>
                  <pic:spPr>
                    <a:xfrm>
                      <a:off x="0" y="0"/>
                      <a:ext cx="2860040" cy="2313305"/>
                    </a:xfrm>
                    <a:prstGeom prst="rect">
                      <a:avLst/>
                    </a:prstGeom>
                    <a:noFill/>
                    <a:ln>
                      <a:noFill/>
                    </a:ln>
                  </pic:spPr>
                </pic:pic>
              </a:graphicData>
            </a:graphic>
          </wp:inline>
        </w:drawing>
      </w:r>
    </w:p>
    <w:p w14:paraId="0D783370">
      <w:pPr>
        <w:shd w:val="clear" w:color="auto" w:fill="auto"/>
        <w:spacing w:line="360" w:lineRule="auto"/>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1．下列关于空气质量与气象条件的关系，说法正确的是（</w:t>
      </w:r>
      <w:r>
        <w:rPr>
          <w:rFonts w:ascii="Times New Roman" w:eastAsia="Times New Roman" w:hAnsi="Times New Roman" w:cs="Times New Roman"/>
          <w:color w:val="000000" w:themeColor="text1"/>
          <w:kern w:val="0"/>
          <w:sz w:val="24"/>
          <w:szCs w:val="24"/>
          <w14:textFill>
            <w14:solidFill>
              <w14:schemeClr w14:val="tx1"/>
            </w14:solidFill>
          </w14:textFill>
        </w:rPr>
        <w:t>   </w:t>
      </w:r>
      <w:r>
        <w:rPr>
          <w:color w:val="000000" w:themeColor="text1"/>
          <w14:textFill>
            <w14:solidFill>
              <w14:schemeClr w14:val="tx1"/>
            </w14:solidFill>
          </w14:textFill>
        </w:rPr>
        <w:t>）</w:t>
      </w:r>
    </w:p>
    <w:p w14:paraId="22F38041">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①降水能吸附尘埃，净化空气②微风有利于尘埃沉降，净化空气③风力越大，越有利于空气净化④晴天的空气质量比较好</w:t>
      </w:r>
    </w:p>
    <w:p w14:paraId="1926AB9D">
      <w:pPr>
        <w:shd w:val="clear" w:color="auto" w:fill="auto"/>
        <w:tabs>
          <w:tab w:val="left" w:pos="2078"/>
          <w:tab w:val="left" w:pos="4156"/>
          <w:tab w:val="left" w:pos="6234"/>
        </w:tabs>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A．①②</w:t>
      </w:r>
      <w:r>
        <w:rPr>
          <w:color w:val="000000" w:themeColor="text1"/>
          <w14:textFill>
            <w14:solidFill>
              <w14:schemeClr w14:val="tx1"/>
            </w14:solidFill>
          </w14:textFill>
        </w:rPr>
        <w:tab/>
      </w:r>
      <w:r>
        <w:rPr>
          <w:color w:val="000000" w:themeColor="text1"/>
          <w14:textFill>
            <w14:solidFill>
              <w14:schemeClr w14:val="tx1"/>
            </w14:solidFill>
          </w14:textFill>
        </w:rPr>
        <w:t>B．③④</w:t>
      </w:r>
      <w:r>
        <w:rPr>
          <w:color w:val="000000" w:themeColor="text1"/>
          <w14:textFill>
            <w14:solidFill>
              <w14:schemeClr w14:val="tx1"/>
            </w14:solidFill>
          </w14:textFill>
        </w:rPr>
        <w:tab/>
      </w:r>
      <w:r>
        <w:rPr>
          <w:color w:val="000000" w:themeColor="text1"/>
          <w14:textFill>
            <w14:solidFill>
              <w14:schemeClr w14:val="tx1"/>
            </w14:solidFill>
          </w14:textFill>
        </w:rPr>
        <w:t>C．①③</w:t>
      </w:r>
      <w:r>
        <w:rPr>
          <w:color w:val="000000" w:themeColor="text1"/>
          <w14:textFill>
            <w14:solidFill>
              <w14:schemeClr w14:val="tx1"/>
            </w14:solidFill>
          </w14:textFill>
        </w:rPr>
        <w:tab/>
      </w:r>
      <w:r>
        <w:rPr>
          <w:color w:val="000000" w:themeColor="text1"/>
          <w14:textFill>
            <w14:solidFill>
              <w14:schemeClr w14:val="tx1"/>
            </w14:solidFill>
          </w14:textFill>
        </w:rPr>
        <w:t>D．②④</w:t>
      </w:r>
    </w:p>
    <w:p w14:paraId="6650602D">
      <w:pPr>
        <w:shd w:val="clear" w:color="auto" w:fill="auto"/>
        <w:spacing w:line="360" w:lineRule="auto"/>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2．造成城市空气质量下降的主要污染源有（</w:t>
      </w:r>
      <w:r>
        <w:rPr>
          <w:rFonts w:ascii="Times New Roman" w:eastAsia="Times New Roman" w:hAnsi="Times New Roman" w:cs="Times New Roman"/>
          <w:color w:val="000000" w:themeColor="text1"/>
          <w:kern w:val="0"/>
          <w:sz w:val="24"/>
          <w:szCs w:val="24"/>
          <w14:textFill>
            <w14:solidFill>
              <w14:schemeClr w14:val="tx1"/>
            </w14:solidFill>
          </w14:textFill>
        </w:rPr>
        <w:t>   </w:t>
      </w:r>
      <w:r>
        <w:rPr>
          <w:color w:val="000000" w:themeColor="text1"/>
          <w14:textFill>
            <w14:solidFill>
              <w14:schemeClr w14:val="tx1"/>
            </w14:solidFill>
          </w14:textFill>
        </w:rPr>
        <w:t>）</w:t>
      </w:r>
    </w:p>
    <w:p w14:paraId="18FBD039">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①汽车尾气②工业废水③地面扬尘④生活用天然气</w:t>
      </w:r>
    </w:p>
    <w:p w14:paraId="0C1B0AC0">
      <w:pPr>
        <w:shd w:val="clear" w:color="auto" w:fill="auto"/>
        <w:tabs>
          <w:tab w:val="left" w:pos="2078"/>
          <w:tab w:val="left" w:pos="4156"/>
          <w:tab w:val="left" w:pos="6234"/>
        </w:tabs>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A．①②</w:t>
      </w:r>
      <w:r>
        <w:rPr>
          <w:color w:val="000000" w:themeColor="text1"/>
          <w14:textFill>
            <w14:solidFill>
              <w14:schemeClr w14:val="tx1"/>
            </w14:solidFill>
          </w14:textFill>
        </w:rPr>
        <w:tab/>
      </w:r>
      <w:r>
        <w:rPr>
          <w:color w:val="000000" w:themeColor="text1"/>
          <w14:textFill>
            <w14:solidFill>
              <w14:schemeClr w14:val="tx1"/>
            </w14:solidFill>
          </w14:textFill>
        </w:rPr>
        <w:t>B．③④</w:t>
      </w:r>
      <w:r>
        <w:rPr>
          <w:color w:val="000000" w:themeColor="text1"/>
          <w14:textFill>
            <w14:solidFill>
              <w14:schemeClr w14:val="tx1"/>
            </w14:solidFill>
          </w14:textFill>
        </w:rPr>
        <w:tab/>
      </w:r>
      <w:r>
        <w:rPr>
          <w:color w:val="000000" w:themeColor="text1"/>
          <w14:textFill>
            <w14:solidFill>
              <w14:schemeClr w14:val="tx1"/>
            </w14:solidFill>
          </w14:textFill>
        </w:rPr>
        <w:t>C．①③</w:t>
      </w:r>
      <w:r>
        <w:rPr>
          <w:color w:val="000000" w:themeColor="text1"/>
          <w14:textFill>
            <w14:solidFill>
              <w14:schemeClr w14:val="tx1"/>
            </w14:solidFill>
          </w14:textFill>
        </w:rPr>
        <w:tab/>
      </w:r>
      <w:r>
        <w:rPr>
          <w:color w:val="000000" w:themeColor="text1"/>
          <w14:textFill>
            <w14:solidFill>
              <w14:schemeClr w14:val="tx1"/>
            </w14:solidFill>
          </w14:textFill>
        </w:rPr>
        <w:t>D．②④</w:t>
      </w:r>
    </w:p>
    <w:p w14:paraId="3079B9D4">
      <w:pPr>
        <w:shd w:val="clear" w:color="auto" w:fill="auto"/>
        <w:spacing w:line="360" w:lineRule="auto"/>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3．无锡市2月17日的中度污染，可能带来的影响有（</w:t>
      </w:r>
      <w:r>
        <w:rPr>
          <w:rFonts w:ascii="Times New Roman" w:eastAsia="Times New Roman" w:hAnsi="Times New Roman" w:cs="Times New Roman"/>
          <w:color w:val="000000" w:themeColor="text1"/>
          <w:kern w:val="0"/>
          <w:sz w:val="24"/>
          <w:szCs w:val="24"/>
          <w14:textFill>
            <w14:solidFill>
              <w14:schemeClr w14:val="tx1"/>
            </w14:solidFill>
          </w14:textFill>
        </w:rPr>
        <w:t>   </w:t>
      </w:r>
      <w:r>
        <w:rPr>
          <w:color w:val="000000" w:themeColor="text1"/>
          <w14:textFill>
            <w14:solidFill>
              <w14:schemeClr w14:val="tx1"/>
            </w14:solidFill>
          </w14:textFill>
        </w:rPr>
        <w:t>）</w:t>
      </w:r>
    </w:p>
    <w:p w14:paraId="1CE3EF88">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①影响人体健康状况②交通能见度降低③降水量增加④建筑物易遭受腐蚀</w:t>
      </w:r>
    </w:p>
    <w:p w14:paraId="5AF114A6">
      <w:pPr>
        <w:shd w:val="clear" w:color="auto" w:fill="auto"/>
        <w:tabs>
          <w:tab w:val="left" w:pos="2078"/>
          <w:tab w:val="left" w:pos="4156"/>
          <w:tab w:val="left" w:pos="6234"/>
        </w:tabs>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A．①②</w:t>
      </w:r>
      <w:r>
        <w:rPr>
          <w:color w:val="000000" w:themeColor="text1"/>
          <w14:textFill>
            <w14:solidFill>
              <w14:schemeClr w14:val="tx1"/>
            </w14:solidFill>
          </w14:textFill>
        </w:rPr>
        <w:tab/>
      </w:r>
      <w:r>
        <w:rPr>
          <w:color w:val="000000" w:themeColor="text1"/>
          <w14:textFill>
            <w14:solidFill>
              <w14:schemeClr w14:val="tx1"/>
            </w14:solidFill>
          </w14:textFill>
        </w:rPr>
        <w:t>B．③④</w:t>
      </w:r>
      <w:r>
        <w:rPr>
          <w:color w:val="000000" w:themeColor="text1"/>
          <w14:textFill>
            <w14:solidFill>
              <w14:schemeClr w14:val="tx1"/>
            </w14:solidFill>
          </w14:textFill>
        </w:rPr>
        <w:tab/>
      </w:r>
      <w:r>
        <w:rPr>
          <w:color w:val="000000" w:themeColor="text1"/>
          <w14:textFill>
            <w14:solidFill>
              <w14:schemeClr w14:val="tx1"/>
            </w14:solidFill>
          </w14:textFill>
        </w:rPr>
        <w:t>C．①③</w:t>
      </w:r>
      <w:r>
        <w:rPr>
          <w:color w:val="000000" w:themeColor="text1"/>
          <w14:textFill>
            <w14:solidFill>
              <w14:schemeClr w14:val="tx1"/>
            </w14:solidFill>
          </w14:textFill>
        </w:rPr>
        <w:tab/>
      </w:r>
      <w:r>
        <w:rPr>
          <w:color w:val="000000" w:themeColor="text1"/>
          <w14:textFill>
            <w14:solidFill>
              <w14:schemeClr w14:val="tx1"/>
            </w14:solidFill>
          </w14:textFill>
        </w:rPr>
        <w:t>D．②④</w:t>
      </w:r>
    </w:p>
    <w:p w14:paraId="10CA15D2">
      <w:pPr>
        <w:shd w:val="clear" w:color="auto" w:fill="auto"/>
        <w:spacing w:line="360" w:lineRule="auto"/>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4．阅读图文资料，完成下列要求。</w:t>
      </w:r>
    </w:p>
    <w:p w14:paraId="48A4046F">
      <w:pPr>
        <w:shd w:val="clear" w:color="auto" w:fill="auto"/>
        <w:spacing w:line="360" w:lineRule="auto"/>
        <w:ind w:firstLine="420"/>
        <w:jc w:val="left"/>
        <w:rPr>
          <w:rFonts w:ascii="楷体" w:eastAsia="楷体" w:hAnsi="楷体" w:cs="楷体"/>
          <w:color w:val="000000" w:themeColor="text1"/>
          <w14:textFill>
            <w14:solidFill>
              <w14:schemeClr w14:val="tx1"/>
            </w14:solidFill>
          </w14:textFill>
        </w:rPr>
      </w:pPr>
      <w:r>
        <w:rPr>
          <w:rFonts w:ascii="楷体" w:eastAsia="楷体" w:hAnsi="楷体" w:cs="楷体"/>
          <w:color w:val="000000" w:themeColor="text1"/>
          <w14:textFill>
            <w14:solidFill>
              <w14:schemeClr w14:val="tx1"/>
            </w14:solidFill>
          </w14:textFill>
        </w:rPr>
        <w:t>微塑料是指直径小于5mm的塑料颗粒，易在外力作用下通过多种途径富集于湿地环境，已成为新型环境污染物。鄱阳湖是中国最大的淡水湖，其丰水期水域面积大约是枯水期的4倍。该湖正面临着微塑料的污染，而赣江、抚河、信江、饶河、修水五大水系正是鄱阳湖水体与沉积物的主要来源。图左示意鄱阳湖及其周边地区，图右示意鄱阳湖流域各水系丰水期（7月）、枯水期（10月）水体与沉积物的微塑料丰度。</w:t>
      </w:r>
    </w:p>
    <w:p w14:paraId="28072FCC">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3406775" cy="2747010"/>
            <wp:effectExtent l="0" t="0" r="3175" b="1524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xmlns:r="http://schemas.openxmlformats.org/officeDocument/2006/relationships" r:embed="rId8"/>
                    <a:stretch>
                      <a:fillRect/>
                    </a:stretch>
                  </pic:blipFill>
                  <pic:spPr>
                    <a:xfrm>
                      <a:off x="0" y="0"/>
                      <a:ext cx="3406775" cy="2747010"/>
                    </a:xfrm>
                    <a:prstGeom prst="rect">
                      <a:avLst/>
                    </a:prstGeom>
                    <a:noFill/>
                    <a:ln>
                      <a:noFill/>
                    </a:ln>
                  </pic:spPr>
                </pic:pic>
              </a:graphicData>
            </a:graphic>
          </wp:inline>
        </w:drawing>
      </w:r>
    </w:p>
    <w:p w14:paraId="34E85D19">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(1)从外力作用角度阐述鄱阳湖微塑料的主要富集途径。</w:t>
      </w:r>
    </w:p>
    <w:p w14:paraId="5E42A3FE">
      <w:pPr>
        <w:shd w:val="clear" w:color="auto" w:fill="auto"/>
        <w:spacing w:line="360" w:lineRule="auto"/>
        <w:jc w:val="left"/>
        <w:rPr>
          <w:color w:val="000000" w:themeColor="text1"/>
          <w14:textFill>
            <w14:solidFill>
              <w14:schemeClr w14:val="tx1"/>
            </w14:solidFill>
          </w14:textFill>
        </w:rPr>
      </w:pPr>
    </w:p>
    <w:p w14:paraId="19A69DF7">
      <w:pPr>
        <w:shd w:val="clear" w:color="auto" w:fill="auto"/>
        <w:spacing w:line="360" w:lineRule="auto"/>
        <w:jc w:val="left"/>
        <w:rPr>
          <w:color w:val="000000" w:themeColor="text1"/>
          <w14:textFill>
            <w14:solidFill>
              <w14:schemeClr w14:val="tx1"/>
            </w14:solidFill>
          </w14:textFill>
        </w:rPr>
      </w:pPr>
    </w:p>
    <w:p w14:paraId="42F5AD60">
      <w:p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(2)判断鄱阳湖丰、枯水期微塑料丰度的总体大小差异并分析其原因。</w:t>
      </w:r>
    </w:p>
    <w:p w14:paraId="02FA9D45">
      <w:pPr>
        <w:shd w:val="clear" w:color="auto" w:fill="auto"/>
        <w:spacing w:line="360" w:lineRule="auto"/>
        <w:jc w:val="left"/>
        <w:rPr>
          <w:color w:val="000000" w:themeColor="text1"/>
          <w14:textFill>
            <w14:solidFill>
              <w14:schemeClr w14:val="tx1"/>
            </w14:solidFill>
          </w14:textFill>
        </w:rPr>
      </w:pPr>
    </w:p>
    <w:p w14:paraId="624BE9C6">
      <w:pPr>
        <w:shd w:val="clear" w:color="auto" w:fill="auto"/>
        <w:spacing w:line="360" w:lineRule="auto"/>
        <w:jc w:val="left"/>
        <w:rPr>
          <w:color w:val="000000" w:themeColor="text1"/>
          <w14:textFill>
            <w14:solidFill>
              <w14:schemeClr w14:val="tx1"/>
            </w14:solidFill>
          </w14:textFill>
        </w:rPr>
      </w:pPr>
    </w:p>
    <w:p w14:paraId="5116CCE9">
      <w:pPr>
        <w:numPr>
          <w:ilvl w:val="0"/>
          <w:numId w:val="1"/>
        </w:numPr>
        <w:shd w:val="clear" w:color="auto" w:fill="auto"/>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针对阻断微塑料迁移过程，提出减少鄱阳湖微塑料污染的有效措施。</w:t>
      </w:r>
    </w:p>
    <w:p w14:paraId="5E2EC692">
      <w:pPr>
        <w:widowControl w:val="0"/>
        <w:numPr>
          <w:ilvl w:val="0"/>
          <w:numId w:val="0"/>
        </w:numPr>
        <w:shd w:val="clear" w:color="auto" w:fill="auto"/>
        <w:spacing w:line="360" w:lineRule="auto"/>
        <w:jc w:val="left"/>
        <w:rPr>
          <w:color w:val="000000" w:themeColor="text1"/>
          <w14:textFill>
            <w14:solidFill>
              <w14:schemeClr w14:val="tx1"/>
            </w14:solidFill>
          </w14:textFill>
        </w:rPr>
      </w:pPr>
    </w:p>
    <w:p w14:paraId="2C50E8AE">
      <w:pPr>
        <w:widowControl w:val="0"/>
        <w:numPr>
          <w:ilvl w:val="0"/>
          <w:numId w:val="0"/>
        </w:numPr>
        <w:shd w:val="clear" w:color="auto" w:fill="auto"/>
        <w:spacing w:line="360" w:lineRule="auto"/>
        <w:jc w:val="left"/>
        <w:rPr>
          <w:color w:val="000000" w:themeColor="text1"/>
          <w14:textFill>
            <w14:solidFill>
              <w14:schemeClr w14:val="tx1"/>
            </w14:solidFill>
          </w14:textFill>
        </w:rPr>
      </w:pPr>
    </w:p>
    <w:p w14:paraId="7F43C3FF">
      <w:pPr>
        <w:widowControl w:val="0"/>
        <w:numPr>
          <w:ilvl w:val="0"/>
          <w:numId w:val="0"/>
        </w:numPr>
        <w:shd w:val="clear" w:color="auto" w:fill="auto"/>
        <w:spacing w:line="360" w:lineRule="auto"/>
        <w:jc w:val="left"/>
        <w:rPr>
          <w:color w:val="000000" w:themeColor="text1"/>
          <w14:textFill>
            <w14:solidFill>
              <w14:schemeClr w14:val="tx1"/>
            </w14:solidFill>
          </w14:textFill>
        </w:rPr>
      </w:pPr>
    </w:p>
    <w:p w14:paraId="2F177E0E">
      <w:pPr>
        <w:spacing w:line="360" w:lineRule="auto"/>
        <w:jc w:val="left"/>
        <w:textAlignment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15.</w:t>
      </w:r>
      <w:r>
        <w:rPr>
          <w:color w:val="000000" w:themeColor="text1"/>
          <w14:textFill>
            <w14:solidFill>
              <w14:schemeClr w14:val="tx1"/>
            </w14:solidFill>
          </w14:textFill>
        </w:rPr>
        <w:t>阅读材料，回答问题。</w:t>
      </w:r>
    </w:p>
    <w:p w14:paraId="6C52326A">
      <w:pPr>
        <w:spacing w:line="360" w:lineRule="auto"/>
        <w:ind w:firstLine="420"/>
        <w:jc w:val="left"/>
        <w:textAlignment w:val="center"/>
        <w:rPr>
          <w:rFonts w:ascii="楷体" w:eastAsia="楷体" w:hAnsi="楷体" w:cs="楷体"/>
          <w:color w:val="000000" w:themeColor="text1"/>
          <w14:textFill>
            <w14:solidFill>
              <w14:schemeClr w14:val="tx1"/>
            </w14:solidFill>
          </w14:textFill>
        </w:rPr>
      </w:pPr>
      <w:r>
        <w:rPr>
          <w:rFonts w:ascii="楷体" w:eastAsia="楷体" w:hAnsi="楷体" w:cs="楷体"/>
          <w:color w:val="000000" w:themeColor="text1"/>
          <w14:textFill>
            <w14:solidFill>
              <w14:schemeClr w14:val="tx1"/>
            </w14:solidFill>
          </w14:textFill>
        </w:rPr>
        <w:t>土壤重金属污染物主要有汞、镉、铅、铜、铬、镍、铁、锰、锌等。由于重金属不能为土壤微生物所分解，而易于积累，转化为毒性更大的甲基化合物，甚至有的通过食物链进入人体内富集，严重危害人体健康，出现累积性环境安全问题。右图示意累积性环境安全问题的形成过程。</w:t>
      </w:r>
    </w:p>
    <w:p w14:paraId="0BF0C37D">
      <w:pPr>
        <w:spacing w:line="360" w:lineRule="auto"/>
        <w:jc w:val="center"/>
        <w:textAlignment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115820" cy="1398905"/>
            <wp:effectExtent l="0" t="0" r="17780" b="10795"/>
            <wp:docPr id="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pic:cNvPicPr>
                      <a:picLocks noChangeAspect="1"/>
                    </pic:cNvPicPr>
                  </pic:nvPicPr>
                  <pic:blipFill>
                    <a:blip xmlns:r="http://schemas.openxmlformats.org/officeDocument/2006/relationships" r:embed="rId9"/>
                    <a:stretch>
                      <a:fillRect/>
                    </a:stretch>
                  </pic:blipFill>
                  <pic:spPr>
                    <a:xfrm>
                      <a:off x="0" y="0"/>
                      <a:ext cx="2115820" cy="1398905"/>
                    </a:xfrm>
                    <a:prstGeom prst="rect">
                      <a:avLst/>
                    </a:prstGeom>
                    <a:noFill/>
                    <a:ln>
                      <a:noFill/>
                    </a:ln>
                  </pic:spPr>
                </pic:pic>
              </a:graphicData>
            </a:graphic>
          </wp:inline>
        </w:drawing>
      </w:r>
    </w:p>
    <w:p w14:paraId="289ED55A">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（1）据图描述累积性环境安全问题的形成过程。</w:t>
      </w:r>
    </w:p>
    <w:p w14:paraId="418C2168">
      <w:pPr>
        <w:spacing w:line="360" w:lineRule="auto"/>
        <w:jc w:val="left"/>
        <w:textAlignment w:val="center"/>
        <w:rPr>
          <w:color w:val="000000" w:themeColor="text1"/>
          <w14:textFill>
            <w14:solidFill>
              <w14:schemeClr w14:val="tx1"/>
            </w14:solidFill>
          </w14:textFill>
        </w:rPr>
      </w:pPr>
    </w:p>
    <w:p w14:paraId="7F78214D">
      <w:pPr>
        <w:spacing w:line="360" w:lineRule="auto"/>
        <w:jc w:val="left"/>
        <w:textAlignment w:val="center"/>
        <w:rPr>
          <w:color w:val="000000" w:themeColor="text1"/>
          <w14:textFill>
            <w14:solidFill>
              <w14:schemeClr w14:val="tx1"/>
            </w14:solidFill>
          </w14:textFill>
        </w:rPr>
      </w:pPr>
    </w:p>
    <w:p w14:paraId="6AC470E8">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（2）累积性环境安全问题的特点是</w:t>
      </w:r>
    </w:p>
    <w:p w14:paraId="3556AC95">
      <w:pPr>
        <w:spacing w:line="360" w:lineRule="auto"/>
        <w:jc w:val="left"/>
        <w:textAlignment w:val="center"/>
        <w:rPr>
          <w:color w:val="000000" w:themeColor="text1"/>
          <w14:textFill>
            <w14:solidFill>
              <w14:schemeClr w14:val="tx1"/>
            </w14:solidFill>
          </w14:textFill>
        </w:rPr>
      </w:pPr>
    </w:p>
    <w:p w14:paraId="77697AA1">
      <w:pPr>
        <w:spacing w:line="360" w:lineRule="auto"/>
        <w:jc w:val="left"/>
        <w:textAlignment w:val="center"/>
        <w:rPr>
          <w:color w:val="000000" w:themeColor="text1"/>
          <w14:textFill>
            <w14:solidFill>
              <w14:schemeClr w14:val="tx1"/>
            </w14:solidFill>
          </w14:textFill>
        </w:rPr>
      </w:pPr>
    </w:p>
    <w:p w14:paraId="78042B0C">
      <w:pPr>
        <w:numPr>
          <w:ilvl w:val="0"/>
          <w:numId w:val="2"/>
        </w:num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以土壤重金属污染为例，说明累积性环境安全问题难以治理的原因。</w:t>
      </w:r>
    </w:p>
    <w:p w14:paraId="2373C8AC">
      <w:pPr>
        <w:pStyle w:val="BodyText"/>
        <w:widowControl w:val="0"/>
        <w:numPr>
          <w:ilvl w:val="0"/>
          <w:numId w:val="0"/>
        </w:numPr>
        <w:spacing w:before="28"/>
        <w:jc w:val="both"/>
        <w:rPr>
          <w:color w:val="000000" w:themeColor="text1"/>
          <w14:textFill>
            <w14:solidFill>
              <w14:schemeClr w14:val="tx1"/>
            </w14:solidFill>
          </w14:textFill>
        </w:rPr>
      </w:pPr>
    </w:p>
    <w:p w14:paraId="072E95BA">
      <w:pPr>
        <w:pStyle w:val="BodyText"/>
        <w:widowControl w:val="0"/>
        <w:numPr>
          <w:ilvl w:val="0"/>
          <w:numId w:val="0"/>
        </w:numPr>
        <w:spacing w:before="28"/>
        <w:jc w:val="both"/>
        <w:rPr>
          <w:color w:val="000000" w:themeColor="text1"/>
          <w14:textFill>
            <w14:solidFill>
              <w14:schemeClr w14:val="tx1"/>
            </w14:solidFill>
          </w14:textFill>
        </w:rPr>
      </w:pPr>
    </w:p>
    <w:p w14:paraId="6445CFA5">
      <w:pPr>
        <w:shd w:val="clear" w:color="auto" w:fill="auto"/>
        <w:tabs>
          <w:tab w:val="left" w:pos="2078"/>
          <w:tab w:val="left" w:pos="4156"/>
          <w:tab w:val="left" w:pos="6234"/>
        </w:tabs>
        <w:spacing w:line="360" w:lineRule="auto"/>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p>
    <w:p w14:paraId="1B8FAECD">
      <w:pPr>
        <w:shd w:val="clear" w:color="auto" w:fill="auto"/>
        <w:tabs>
          <w:tab w:val="left" w:pos="2078"/>
          <w:tab w:val="left" w:pos="4156"/>
          <w:tab w:val="left" w:pos="6234"/>
        </w:tabs>
        <w:spacing w:line="360" w:lineRule="auto"/>
        <w:jc w:val="left"/>
        <w:rPr>
          <w:rFonts w:hint="eastAsia"/>
          <w:color w:val="000000" w:themeColor="text1"/>
          <w:lang w:val="en-US" w:eastAsia="zh-CN"/>
          <w14:textFill>
            <w14:solidFill>
              <w14:schemeClr w14:val="tx1"/>
            </w14:solidFill>
          </w14:textFill>
        </w:rPr>
      </w:pPr>
    </w:p>
    <w:p w14:paraId="44B814CC">
      <w:pPr>
        <w:shd w:val="clear" w:color="auto" w:fill="auto"/>
        <w:tabs>
          <w:tab w:val="left" w:pos="2078"/>
          <w:tab w:val="left" w:pos="4156"/>
          <w:tab w:val="left" w:pos="6234"/>
        </w:tabs>
        <w:spacing w:line="36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1．D    2．D</w:t>
      </w:r>
    </w:p>
    <w:p w14:paraId="656B4E80">
      <w:pPr>
        <w:shd w:val="clear" w:color="auto" w:fill="auto"/>
        <w:tabs>
          <w:tab w:val="left" w:pos="2078"/>
          <w:tab w:val="left" w:pos="4156"/>
          <w:tab w:val="left" w:pos="6234"/>
        </w:tabs>
        <w:spacing w:line="36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解析】1．限期治理制度是指针对严重污染环境的企业事业单位和在特殊保护区域内超标排污的生产、经营设施和活动，由各级人民政府或其授权的环境保护部门决定、环境保护部门监督实施，在一定期限内治理并消除污染的法律制度。其主要特点是有严厉的法律强制性、有明确的时间要求、有具体的治理任务、有明确的治理对象，①②③正确。对治理措施没有限定，④错误。所以选D。</w:t>
      </w:r>
    </w:p>
    <w:p w14:paraId="782B9310">
      <w:pPr>
        <w:shd w:val="clear" w:color="auto" w:fill="auto"/>
        <w:tabs>
          <w:tab w:val="left" w:pos="2078"/>
          <w:tab w:val="left" w:pos="4156"/>
          <w:tab w:val="left" w:pos="6234"/>
        </w:tabs>
        <w:spacing w:line="36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2．根据所学知识可知，限期治理制度的治理类型包括区域性限期治理，行业性限期治理，污染源限期治理。目标的限期治理不属于限期治理制度的治理类型，①②③正确，④错误。所以选D。</w:t>
      </w:r>
    </w:p>
    <w:p w14:paraId="31039FC3">
      <w:pPr>
        <w:shd w:val="clear" w:color="auto" w:fill="auto"/>
        <w:tabs>
          <w:tab w:val="left" w:pos="2078"/>
          <w:tab w:val="left" w:pos="4156"/>
          <w:tab w:val="left" w:pos="6234"/>
        </w:tabs>
        <w:spacing w:line="360" w:lineRule="auto"/>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3．A    4．B</w:t>
      </w:r>
    </w:p>
    <w:p w14:paraId="4E654F9E">
      <w:pPr>
        <w:shd w:val="clear" w:color="auto" w:fill="auto"/>
        <w:tabs>
          <w:tab w:val="left" w:pos="2078"/>
          <w:tab w:val="left" w:pos="4156"/>
          <w:tab w:val="left" w:pos="6234"/>
        </w:tabs>
        <w:spacing w:line="36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解析】3．根据所学知识可知，“全面规划，合理布局，综合利用，化害为利，依靠群众，大家动手，保护环境，造福人民”是我国环境保护基本方针，A正确；不是环境保护的基本原则、环境保护的制度、环境保护的政策，BCD错误。所以选A。</w:t>
      </w:r>
    </w:p>
    <w:p w14:paraId="1E63A677">
      <w:pPr>
        <w:shd w:val="clear" w:color="auto" w:fill="auto"/>
        <w:tabs>
          <w:tab w:val="left" w:pos="2078"/>
          <w:tab w:val="left" w:pos="4156"/>
          <w:tab w:val="left" w:pos="6234"/>
        </w:tabs>
        <w:spacing w:line="36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环境影响评价制度和“三同时”制度是贯彻“预防为主”的环境保护政策，①错误；环境影响评价为制定区域经济发展规划提供科学依据，②正确；环境影响评价制度就是一种较为有效的预防手段，③正确；环境影响评价制度是对传统的经济发展方式的重大改革，④正确。所以选B。</w:t>
      </w:r>
    </w:p>
    <w:p w14:paraId="4D584059">
      <w:pPr>
        <w:shd w:val="clear" w:color="auto" w:fill="auto"/>
        <w:tabs>
          <w:tab w:val="left" w:pos="2078"/>
          <w:tab w:val="left" w:pos="4156"/>
          <w:tab w:val="left" w:pos="6234"/>
        </w:tabs>
        <w:spacing w:line="360" w:lineRule="auto"/>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5．B    6．C</w:t>
      </w:r>
    </w:p>
    <w:p w14:paraId="494BCCA9">
      <w:pPr>
        <w:shd w:val="clear" w:color="auto" w:fill="auto"/>
        <w:tabs>
          <w:tab w:val="left" w:pos="2078"/>
          <w:tab w:val="left" w:pos="4156"/>
          <w:tab w:val="left" w:pos="6234"/>
        </w:tabs>
        <w:spacing w:line="36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解析】5．由材料可知，此次莱茵河跨境污染事件是由瑞士一家化工厂着火引起，属于突发性环境安全问题，A项错误；此次莱茵河跨境污染事件属于污染物跨国传输，B项正确；此次莱茵河跨境污染属于环境污染物的跨境转移，不属于产品贸易，C项错误；涌入莱茵河的大量化学原料并非是废弃物，只是出于火灾的原因才注入的莱茵河，故D项错误。故选B。</w:t>
      </w:r>
    </w:p>
    <w:p w14:paraId="1DA4EAEF">
      <w:pPr>
        <w:shd w:val="clear" w:color="auto" w:fill="auto"/>
        <w:tabs>
          <w:tab w:val="left" w:pos="2078"/>
          <w:tab w:val="left" w:pos="4156"/>
          <w:tab w:val="left" w:pos="6234"/>
        </w:tabs>
        <w:spacing w:line="36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①实行严格的环境准入机制，有利于规避、减小环境风险，对；②禁止污染企业跨国投资设厂，太过绝对，不利于经济发展，也不现实，②错；③对跨国污染源进行检测预警，可以提前预防，及时处理，降低损害，正确；④完善跨国环境治理的合作机制，有利于有效解决跨国环境问题，正确。综上可知，C项正确，ABD项错误。故选C。</w:t>
      </w:r>
    </w:p>
    <w:p w14:paraId="79D42954">
      <w:pPr>
        <w:shd w:val="clear" w:color="auto" w:fill="auto"/>
        <w:tabs>
          <w:tab w:val="left" w:pos="4156"/>
        </w:tabs>
        <w:spacing w:line="360" w:lineRule="auto"/>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7．A    8．D</w:t>
      </w:r>
    </w:p>
    <w:p w14:paraId="24266C0A">
      <w:pPr>
        <w:shd w:val="clear" w:color="auto" w:fill="auto"/>
        <w:tabs>
          <w:tab w:val="left" w:pos="4156"/>
        </w:tabs>
        <w:spacing w:line="36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解析】7．从图中看，甲、乙两图中垃圾收集点较均匀地分布于居民区内，,方便居民放置垃圾，较为合理，A正确；丙图有一垃圾收集点布局在小河边，可能会造成河水污染，不合理，BC错；丁图中小河西岸没有垃圾收集点，小河西岸的居民放置垃圾不方便，不合理，D错。故选A。</w:t>
      </w:r>
    </w:p>
    <w:p w14:paraId="1B837E46">
      <w:pPr>
        <w:shd w:val="clear" w:color="auto" w:fill="auto"/>
        <w:tabs>
          <w:tab w:val="left" w:pos="4156"/>
        </w:tabs>
        <w:spacing w:line="36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垃圾分类回收箱的使用效果不佳的主要原因可能是居民环境保护意识差、对垃圾分类标准模糊，①④正确；由材料可知，小区按规划合理布局了垃圾分类回收箱，其主要原因不可能是垃圾分类回收箱布局不合理，③错；生活垃圾数量较少，应该更有利于垃圾分类，②错。①④正确，故选D。</w:t>
      </w:r>
    </w:p>
    <w:p w14:paraId="5AA3276D">
      <w:pPr>
        <w:spacing w:line="360" w:lineRule="auto"/>
        <w:jc w:val="left"/>
        <w:textAlignment w:val="center"/>
        <w:rPr>
          <w:rFonts w:ascii="Times New Roman" w:hAnsi="Times New Roman"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ascii="Times New Roman" w:hAnsi="Times New Roman" w:hint="eastAsia"/>
          <w:color w:val="000000" w:themeColor="text1"/>
          <w:lang w:val="en-US" w:eastAsia="zh-CN"/>
          <w14:textFill>
            <w14:solidFill>
              <w14:schemeClr w14:val="tx1"/>
            </w14:solidFill>
          </w14:textFill>
        </w:rPr>
        <w:t xml:space="preserve">9. A    10，C  </w:t>
      </w:r>
    </w:p>
    <w:p w14:paraId="390855DA">
      <w:pPr>
        <w:spacing w:line="360" w:lineRule="auto"/>
        <w:jc w:val="left"/>
        <w:textAlignment w:val="center"/>
        <w:rPr>
          <w:rFonts w:ascii="Times New Roman" w:hAnsi="Times New Roman" w:hint="eastAsia"/>
          <w:color w:val="000000" w:themeColor="text1"/>
          <w:lang w:val="en-US" w:eastAsia="zh-CN"/>
          <w14:textFill>
            <w14:solidFill>
              <w14:schemeClr w14:val="tx1"/>
            </w14:solidFill>
          </w14:textFill>
        </w:rPr>
      </w:pPr>
      <w:r>
        <w:rPr>
          <w:rFonts w:ascii="Times New Roman" w:hAnsi="Times New Roman" w:hint="eastAsia"/>
          <w:color w:val="000000" w:themeColor="text1"/>
          <w:lang w:val="en-US" w:eastAsia="zh-CN"/>
          <w14:textFill>
            <w14:solidFill>
              <w14:schemeClr w14:val="tx1"/>
            </w14:solidFill>
          </w14:textFill>
        </w:rPr>
        <w:t>【解析】9.读图可知，宝鸡城市生态安全指数呈波动上升趋势，说明城市安全度高，城市生态优化，故A正确，B、C错误；1978～2006年宝鸡城市生态安全指数介于0.2～0.6。</w:t>
      </w:r>
    </w:p>
    <w:p w14:paraId="31DA90F2">
      <w:pPr>
        <w:spacing w:line="360" w:lineRule="auto"/>
        <w:jc w:val="left"/>
        <w:textAlignment w:val="center"/>
        <w:rPr>
          <w:rFonts w:ascii="Times New Roman" w:hAnsi="Times New Roman" w:hint="default"/>
          <w:color w:val="000000" w:themeColor="text1"/>
          <w:lang w:val="en-US" w:eastAsia="zh-CN"/>
          <w14:textFill>
            <w14:solidFill>
              <w14:schemeClr w14:val="tx1"/>
            </w14:solidFill>
          </w14:textFill>
        </w:rPr>
      </w:pPr>
      <w:r>
        <w:rPr>
          <w:rFonts w:ascii="Times New Roman" w:hAnsi="Times New Roman" w:hint="eastAsia"/>
          <w:color w:val="000000" w:themeColor="text1"/>
          <w:lang w:val="en-US" w:eastAsia="zh-CN"/>
          <w14:textFill>
            <w14:solidFill>
              <w14:schemeClr w14:val="tx1"/>
            </w14:solidFill>
          </w14:textFill>
        </w:rPr>
        <w:t>10.提高城市生态安全指数，需从生态方面采取措施，④⑤与城市生态环境关联性不大，因此排除与④⑤有关的选项。</w:t>
      </w:r>
    </w:p>
    <w:p w14:paraId="62C77998">
      <w:pPr>
        <w:shd w:val="clear" w:color="auto" w:fill="auto"/>
        <w:tabs>
          <w:tab w:val="left" w:pos="2078"/>
          <w:tab w:val="left" w:pos="4156"/>
          <w:tab w:val="left" w:pos="6234"/>
        </w:tabs>
        <w:spacing w:line="360" w:lineRule="auto"/>
        <w:jc w:val="left"/>
        <w:rPr>
          <w:rFonts w:hint="eastAsia"/>
          <w:color w:val="000000" w:themeColor="text1"/>
          <w14:textFill>
            <w14:solidFill>
              <w14:schemeClr w14:val="tx1"/>
            </w14:solidFill>
          </w14:textFill>
        </w:rPr>
      </w:pPr>
      <w:r>
        <w:rPr>
          <w:rFonts w:ascii="楷体" w:eastAsia="楷体" w:hAnsi="楷体" w:cs="楷体"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1．C   </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 2．C    </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3．A</w:t>
      </w:r>
    </w:p>
    <w:p w14:paraId="1C557DDF">
      <w:pPr>
        <w:shd w:val="clear" w:color="auto" w:fill="auto"/>
        <w:tabs>
          <w:tab w:val="left" w:pos="2078"/>
          <w:tab w:val="left" w:pos="4156"/>
          <w:tab w:val="left" w:pos="6234"/>
        </w:tabs>
        <w:spacing w:line="36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【分析】</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1．由材料可知，空气质量指数越小，表示空气质量越好。雨天，空气质量指数小，空气质量较好，因为降水能吸附尘埃，净化空气，①正确；风力大，空气质量指数小，空气质量好，因为风力越大，越有利于空气净化，微风不利于尘埃沉降，②错误、③正确；晴天，空气质量指数大，空气质量较差，④错误。故选C。</w:t>
      </w:r>
    </w:p>
    <w:p w14:paraId="17EFC5DE">
      <w:pPr>
        <w:shd w:val="clear" w:color="auto" w:fill="auto"/>
        <w:tabs>
          <w:tab w:val="left" w:pos="2078"/>
          <w:tab w:val="left" w:pos="4156"/>
          <w:tab w:val="left" w:pos="6234"/>
        </w:tabs>
        <w:spacing w:line="360" w:lineRule="auto"/>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2．造成城市空气质量下降的主要污染源有汽车尾气、工业生产、居民生活中燃烧煤炭、地面扬尘等。工业废水主要是造成水污染，天然气较清洁，对大气污染影响较小。故选C。</w:t>
      </w:r>
    </w:p>
    <w:p w14:paraId="546EE184">
      <w:pPr>
        <w:shd w:val="clear" w:color="auto" w:fill="auto"/>
        <w:tabs>
          <w:tab w:val="left" w:pos="2078"/>
          <w:tab w:val="left" w:pos="4156"/>
          <w:tab w:val="left" w:pos="6234"/>
        </w:tabs>
        <w:spacing w:line="360" w:lineRule="auto"/>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3．中度污染会使人出现气喘、咳嗽等症状，对人体健康状况造成影响，①对；污染物会导致交通能见度降低，②对；发生空气污染时，大气稳定，不易降水，③错；跟建筑物腐蚀关系不大，④错。故选A。</w:t>
      </w:r>
    </w:p>
    <w:p w14:paraId="5F181D52">
      <w:pPr>
        <w:widowControl w:val="0"/>
        <w:numPr>
          <w:ilvl w:val="0"/>
          <w:numId w:val="0"/>
        </w:numPr>
        <w:shd w:val="clear" w:color="auto" w:fill="auto"/>
        <w:spacing w:line="360" w:lineRule="auto"/>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14</w:t>
      </w:r>
      <w:r>
        <w:rPr>
          <w:rFonts w:hint="eastAsia"/>
          <w:color w:val="000000" w:themeColor="text1"/>
          <w14:textFill>
            <w14:solidFill>
              <w14:schemeClr w14:val="tx1"/>
            </w14:solidFill>
          </w14:textFill>
        </w:rPr>
        <w:t>(1)微塑料通过流水搬运至湖中；地表的微塑料通过风力搬运，沉降在鄱阳湖；鄱阳湖水中的塑料制品，受风化作用（光降解）或波浪冲击作用，脆化成微塑料。</w:t>
      </w:r>
    </w:p>
    <w:p w14:paraId="67E6457D">
      <w:pPr>
        <w:widowControl w:val="0"/>
        <w:numPr>
          <w:ilvl w:val="0"/>
          <w:numId w:val="0"/>
        </w:numPr>
        <w:shd w:val="clear" w:color="auto" w:fill="auto"/>
        <w:spacing w:line="36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枯水期＞丰水期；因鄱阳湖丰水期水域面积大幅超过枯水期，丰水期水量过大导致水体对微塑料产生了稀释作用；枯水期（10月）采样时间滞后于丰水期（7月）3个月，经历较长时间沉积作用，枯水期微塑料丰度有一定的升高。</w:t>
      </w:r>
    </w:p>
    <w:p w14:paraId="6844B28F">
      <w:pPr>
        <w:widowControl w:val="0"/>
        <w:numPr>
          <w:ilvl w:val="0"/>
          <w:numId w:val="0"/>
        </w:numPr>
        <w:shd w:val="clear" w:color="auto" w:fill="auto"/>
        <w:spacing w:line="36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(3)在主要河流入湖口设置拦截吸附装置，并定期清理；加强周边区域垃圾清运过程管理，对垃圾清运场所进行加盖处理；打捞湖中及流域的塑料制品，减少微塑料来源。</w:t>
      </w:r>
    </w:p>
    <w:p w14:paraId="2906EBC3">
      <w:pPr>
        <w:widowControl w:val="0"/>
        <w:numPr>
          <w:ilvl w:val="0"/>
          <w:numId w:val="0"/>
        </w:numPr>
        <w:shd w:val="clear" w:color="auto" w:fill="auto"/>
        <w:spacing w:line="36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分析】（1）鄱阳湖中的微塑料沉积，直接的来源是湖中人类活动使用的塑料制品，废弃到水中之后，受风化作用或波浪冲击作用，脆化破碎成微塑料；周边水系中人类活动产生微塑料，通过流水搬运到鄱阳湖；周边陆地的人类活动留在地表上的塑料风化成微塑料后，通过风力搬运，沉降在鄱阳湖。</w:t>
      </w:r>
    </w:p>
    <w:p w14:paraId="56283E5C">
      <w:pPr>
        <w:widowControl w:val="0"/>
        <w:numPr>
          <w:ilvl w:val="0"/>
          <w:numId w:val="0"/>
        </w:numPr>
        <w:shd w:val="clear" w:color="auto" w:fill="auto"/>
        <w:spacing w:line="36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从水体和沉积物的微塑料丰度数据来看，除饶河、修水丰水期沉积物微塑料较多之外，水体中和其他支流的沉积物中都是枯水期大于丰水期，总体来看，枯水期大于丰水期。因为鄱阳湖丰水期水量增加，水域面积大幅超过枯水期，微塑料的丰度单位是每升或者千克水体中含有微塑料的数量，水量大导致水体对微塑料产生了稀释作用，丰度降低；枯水期（10月）采样时间滞后于丰水期（7月）3个月，随着水量的减少，流速的减慢，加速了微塑料在湖底的沉积，经历3个月的时间，枯水期沉积物中微塑料丰度也会有一定的升高。</w:t>
      </w:r>
    </w:p>
    <w:p w14:paraId="60538D83">
      <w:pPr>
        <w:widowControl w:val="0"/>
        <w:numPr>
          <w:ilvl w:val="0"/>
          <w:numId w:val="0"/>
        </w:numPr>
        <w:shd w:val="clear" w:color="auto" w:fill="auto"/>
        <w:spacing w:line="36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从阻断微塑料迁移的角度考虑，流水搬运的微塑料主要来自于诸支流向鄱阳湖中的汇入，在主要河流入湖口设置拦截吸附装置，将各条支流中的微塑料拦截，并定期清理，可有效减少流入湖中的微塑料数量；风力搬运的微塑料主要来自于周边的地区的固体废弃物，加强周边区域垃圾清运过程管理，对垃圾清运场所进行加盖处理，可有效降低塑料垃圾的风化产生微塑料，以及微塑料随着风力搬运进入湖中的过程；对于湖中人类活动废弃的塑料垃圾，打捞湖中及流域的塑料制品，减少微塑料来源，可防止微塑料在湖泊范围内的迁移。</w:t>
      </w:r>
    </w:p>
    <w:p w14:paraId="39B85B53">
      <w:pPr>
        <w:spacing w:line="360" w:lineRule="auto"/>
        <w:jc w:val="left"/>
        <w:textAlignment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15</w:t>
      </w:r>
      <w:r>
        <w:rPr>
          <w:color w:val="000000" w:themeColor="text1"/>
          <w14:textFill>
            <w14:solidFill>
              <w14:schemeClr w14:val="tx1"/>
            </w14:solidFill>
          </w14:textFill>
        </w:rPr>
        <w:t>（1）环境不断问题加重，导致环境安全风险程度不断提高，一旦环境安全风险程度超过环境安全临界点，就会形成环境安全问题。</w:t>
      </w:r>
    </w:p>
    <w:p w14:paraId="39243CFB">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（2）形成过程缓慢，长期累积形成；形成后影响严重且长期存在；形成后难以治理</w:t>
      </w:r>
    </w:p>
    <w:p w14:paraId="0619A3EF">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3）重金属不能为土壤微生物分解，易于积累，这个积累过程是长期的；随着土壤重金属污染程度不断加重，最终导致农产品中的重金属含量超过食用安全标准，人们食用这些农产品导致污染物进入人体内富集，严重危害人体健康。可见，土壤</w:t>
      </w:r>
      <w:bookmarkStart w:id="0" w:name="_GoBack"/>
      <w:bookmarkEnd w:id="0"/>
      <w:r>
        <w:rPr>
          <w:color w:val="000000" w:themeColor="text1"/>
          <w14:textFill>
            <w14:solidFill>
              <w14:schemeClr w14:val="tx1"/>
            </w14:solidFill>
          </w14:textFill>
        </w:rPr>
        <w:t>重金属污染造成的环境安全问题具有长期性、隐蔽性，难以治理。</w:t>
      </w:r>
    </w:p>
    <w:p w14:paraId="48B40AFF">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【解析】（1）据图可知，环境安全问题产生有临界点，随着环境不断问题加重，导致环境安全风险程度不断提高，如果一旦环境安全风险程度超过环境安全临界点，就会形成环境安全问题。</w:t>
      </w:r>
    </w:p>
    <w:p w14:paraId="2D0699DC">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2）据“由于重金属不能为土壤微生物所分解，而易于积累，转化为毒性更大的甲基化合物，甚至有的通过食物链进入人体内富集，严重危害人体健康，出现累积性环境安全问题”分析，累积性环境安全问题经过多个环节最后进入人体，因此形成过程缓慢，是长期累积形成的问题；形成后影响严重且长期存在，严重危害人体健康；有害物质清除慢，形成后难以治理。</w:t>
      </w:r>
    </w:p>
    <w:p w14:paraId="56CE4E09">
      <w:pPr>
        <w:rPr>
          <w:color w:val="000000" w:themeColor="text1"/>
          <w14:textFill>
            <w14:solidFill>
              <w14:schemeClr w14:val="tx1"/>
            </w14:solidFill>
          </w14:textFill>
        </w:rPr>
      </w:pPr>
      <w:r>
        <w:rPr>
          <w:color w:val="000000" w:themeColor="text1"/>
          <w14:textFill>
            <w14:solidFill>
              <w14:schemeClr w14:val="tx1"/>
            </w14:solidFill>
          </w14:textFill>
        </w:rPr>
        <w:t>（3）“土壤重金属污染物主要有汞、镉、铅、铜、铬、镍、铁、锰、锌等”，“由于重金属不能为土壤微生物所分解，而易于积累”，这个积累过程是长期的，治理周期长；随着土壤重金属污染程度不断加重，最终导致农产品中的重金属含量超过食用安全标准造成污染，一旦人们食用这些农产品导致污染物进入人体内富集，就会严重危害人体健康。可见，土壤重金属污染造成的环境安全问题具有长期性、隐蔽性，难以治理。</w:t>
      </w:r>
    </w:p>
    <w:p w14:paraId="4F942A92">
      <w:pPr>
        <w:pStyle w:val="BodyText"/>
        <w:rPr>
          <w:color w:val="000000" w:themeColor="text1"/>
          <w14:textFill>
            <w14:solidFill>
              <w14:schemeClr w14:val="tx1"/>
            </w14:solidFill>
          </w14:textFill>
        </w:rPr>
      </w:pPr>
    </w:p>
    <w:p w14:paraId="18C0DD9A">
      <w:pPr>
        <w:pStyle w:val="BodyText"/>
        <w:rPr>
          <w:color w:val="000000" w:themeColor="text1"/>
          <w14:textFill>
            <w14:solidFill>
              <w14:schemeClr w14:val="tx1"/>
            </w14:solidFill>
          </w14:textFill>
        </w:rPr>
      </w:pPr>
    </w:p>
    <w:p w14:paraId="18495B5B">
      <w:pPr>
        <w:pStyle w:val="BodyText"/>
        <w:rPr>
          <w:color w:val="000000" w:themeColor="text1"/>
          <w14:textFill>
            <w14:solidFill>
              <w14:schemeClr w14:val="tx1"/>
            </w14:solidFill>
          </w14:textFill>
        </w:rPr>
      </w:pPr>
    </w:p>
    <w:sectPr>
      <w:headerReference w:type="default" r:id="rId10"/>
      <w:footerReference w:type="default" r:id="rId11"/>
      <w:pgSz w:w="11906" w:h="16838"/>
      <w:pgMar w:top="1440" w:right="1800" w:bottom="1440" w:left="1800" w:header="851" w:footer="992" w:gutter="0"/>
      <w:cols w:num="1"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Time New Romans">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Times New Roma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F5ABFBB"/>
    <w:multiLevelType w:val="singleLevel"/>
    <w:tmpl w:val="8F5ABFBB"/>
    <w:lvl w:ilvl="0">
      <w:start w:val="3"/>
      <w:numFmt w:val="decimal"/>
      <w:lvlText w:val="(%1)"/>
      <w:lvlJc w:val="left"/>
      <w:pPr>
        <w:tabs>
          <w:tab w:val="left" w:pos="312"/>
        </w:tabs>
      </w:pPr>
    </w:lvl>
  </w:abstractNum>
  <w:abstractNum w:abstractNumId="1">
    <w:nsid w:val="408EADC9"/>
    <w:multiLevelType w:val="singleLevel"/>
    <w:tmpl w:val="408EADC9"/>
    <w:lvl w:ilvl="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ED"/>
    <w:rsid w:val="000040E6"/>
    <w:rsid w:val="00025370"/>
    <w:rsid w:val="00027606"/>
    <w:rsid w:val="0003146C"/>
    <w:rsid w:val="00034120"/>
    <w:rsid w:val="0003639D"/>
    <w:rsid w:val="000513FA"/>
    <w:rsid w:val="00073B88"/>
    <w:rsid w:val="00076F31"/>
    <w:rsid w:val="0008254D"/>
    <w:rsid w:val="0008374D"/>
    <w:rsid w:val="000A764C"/>
    <w:rsid w:val="000C2FC5"/>
    <w:rsid w:val="000D643E"/>
    <w:rsid w:val="00120AB8"/>
    <w:rsid w:val="00122884"/>
    <w:rsid w:val="00131833"/>
    <w:rsid w:val="00137AE1"/>
    <w:rsid w:val="00140AEE"/>
    <w:rsid w:val="00146A14"/>
    <w:rsid w:val="00154FF5"/>
    <w:rsid w:val="00161A75"/>
    <w:rsid w:val="00171E01"/>
    <w:rsid w:val="00194235"/>
    <w:rsid w:val="001B2388"/>
    <w:rsid w:val="001B7701"/>
    <w:rsid w:val="001C5346"/>
    <w:rsid w:val="001D42E2"/>
    <w:rsid w:val="001D6E14"/>
    <w:rsid w:val="001E45A5"/>
    <w:rsid w:val="002A3E95"/>
    <w:rsid w:val="002A7096"/>
    <w:rsid w:val="002B75E7"/>
    <w:rsid w:val="002C1989"/>
    <w:rsid w:val="002F22A9"/>
    <w:rsid w:val="002F7EAD"/>
    <w:rsid w:val="0031724E"/>
    <w:rsid w:val="00341B58"/>
    <w:rsid w:val="003444F2"/>
    <w:rsid w:val="00392428"/>
    <w:rsid w:val="00393472"/>
    <w:rsid w:val="003D2F58"/>
    <w:rsid w:val="003D3B3E"/>
    <w:rsid w:val="003E7909"/>
    <w:rsid w:val="003F232C"/>
    <w:rsid w:val="004151FC"/>
    <w:rsid w:val="00424E50"/>
    <w:rsid w:val="004269E0"/>
    <w:rsid w:val="0043746D"/>
    <w:rsid w:val="00445EC9"/>
    <w:rsid w:val="004542AD"/>
    <w:rsid w:val="004701CF"/>
    <w:rsid w:val="00486E5D"/>
    <w:rsid w:val="004B174C"/>
    <w:rsid w:val="004D253B"/>
    <w:rsid w:val="004E0890"/>
    <w:rsid w:val="004E6121"/>
    <w:rsid w:val="00510E5D"/>
    <w:rsid w:val="00512D48"/>
    <w:rsid w:val="0051365B"/>
    <w:rsid w:val="00530081"/>
    <w:rsid w:val="00532905"/>
    <w:rsid w:val="0053514A"/>
    <w:rsid w:val="005514EF"/>
    <w:rsid w:val="0057357B"/>
    <w:rsid w:val="00583EBC"/>
    <w:rsid w:val="005846C2"/>
    <w:rsid w:val="00595C85"/>
    <w:rsid w:val="005F22D5"/>
    <w:rsid w:val="00636CB8"/>
    <w:rsid w:val="00684822"/>
    <w:rsid w:val="00687E6B"/>
    <w:rsid w:val="006B4FD7"/>
    <w:rsid w:val="006C2AB1"/>
    <w:rsid w:val="006D4AD1"/>
    <w:rsid w:val="006D6C3B"/>
    <w:rsid w:val="007013A6"/>
    <w:rsid w:val="00727BFC"/>
    <w:rsid w:val="0073705A"/>
    <w:rsid w:val="00754DA3"/>
    <w:rsid w:val="007905EF"/>
    <w:rsid w:val="007A6CF4"/>
    <w:rsid w:val="007E6ACC"/>
    <w:rsid w:val="007E6D1D"/>
    <w:rsid w:val="007F301F"/>
    <w:rsid w:val="0080743D"/>
    <w:rsid w:val="0086678C"/>
    <w:rsid w:val="00883D11"/>
    <w:rsid w:val="008A4798"/>
    <w:rsid w:val="008D27F2"/>
    <w:rsid w:val="008E21C8"/>
    <w:rsid w:val="00906C18"/>
    <w:rsid w:val="00913FE0"/>
    <w:rsid w:val="00917C24"/>
    <w:rsid w:val="009462ED"/>
    <w:rsid w:val="0095482F"/>
    <w:rsid w:val="0097446D"/>
    <w:rsid w:val="009905E7"/>
    <w:rsid w:val="009B6633"/>
    <w:rsid w:val="009C3B0F"/>
    <w:rsid w:val="009E5873"/>
    <w:rsid w:val="00A04076"/>
    <w:rsid w:val="00A24BC9"/>
    <w:rsid w:val="00A37F73"/>
    <w:rsid w:val="00A46291"/>
    <w:rsid w:val="00A4639B"/>
    <w:rsid w:val="00A64CD6"/>
    <w:rsid w:val="00A651DB"/>
    <w:rsid w:val="00A77D5B"/>
    <w:rsid w:val="00A85C80"/>
    <w:rsid w:val="00A95035"/>
    <w:rsid w:val="00AB7D27"/>
    <w:rsid w:val="00AE70A4"/>
    <w:rsid w:val="00B13A8B"/>
    <w:rsid w:val="00B239B8"/>
    <w:rsid w:val="00B3155B"/>
    <w:rsid w:val="00B3400F"/>
    <w:rsid w:val="00B44877"/>
    <w:rsid w:val="00B71904"/>
    <w:rsid w:val="00B959B7"/>
    <w:rsid w:val="00BA654C"/>
    <w:rsid w:val="00BB4FAA"/>
    <w:rsid w:val="00BB6962"/>
    <w:rsid w:val="00BC015D"/>
    <w:rsid w:val="00BC4517"/>
    <w:rsid w:val="00BE4D25"/>
    <w:rsid w:val="00BF037E"/>
    <w:rsid w:val="00C02FC6"/>
    <w:rsid w:val="00C161E4"/>
    <w:rsid w:val="00C33D7A"/>
    <w:rsid w:val="00C460F3"/>
    <w:rsid w:val="00C8183A"/>
    <w:rsid w:val="00C9075F"/>
    <w:rsid w:val="00CC404A"/>
    <w:rsid w:val="00CD55D3"/>
    <w:rsid w:val="00D269D1"/>
    <w:rsid w:val="00D511EF"/>
    <w:rsid w:val="00D710E9"/>
    <w:rsid w:val="00D75770"/>
    <w:rsid w:val="00D8202D"/>
    <w:rsid w:val="00DE0501"/>
    <w:rsid w:val="00DE2899"/>
    <w:rsid w:val="00DF64E8"/>
    <w:rsid w:val="00E40C8A"/>
    <w:rsid w:val="00EA1DFA"/>
    <w:rsid w:val="00EB5CD3"/>
    <w:rsid w:val="00EC1841"/>
    <w:rsid w:val="00EC1D4B"/>
    <w:rsid w:val="00ED4600"/>
    <w:rsid w:val="00EF35AC"/>
    <w:rsid w:val="00F00E6C"/>
    <w:rsid w:val="00F331F6"/>
    <w:rsid w:val="00F743DE"/>
    <w:rsid w:val="00F92CBB"/>
    <w:rsid w:val="00FA6C20"/>
    <w:rsid w:val="00FA7B2B"/>
    <w:rsid w:val="00FD13A7"/>
    <w:rsid w:val="00FD792F"/>
    <w:rsid w:val="00FE5983"/>
    <w:rsid w:val="00FE798F"/>
    <w:rsid w:val="013C54D6"/>
    <w:rsid w:val="07C9609C"/>
    <w:rsid w:val="09405E13"/>
    <w:rsid w:val="0E26001B"/>
    <w:rsid w:val="0E2B572F"/>
    <w:rsid w:val="19D0740C"/>
    <w:rsid w:val="1E9E39C1"/>
    <w:rsid w:val="2425238B"/>
    <w:rsid w:val="254C7462"/>
    <w:rsid w:val="259D24D7"/>
    <w:rsid w:val="2F4075BE"/>
    <w:rsid w:val="300639C1"/>
    <w:rsid w:val="3BE3727F"/>
    <w:rsid w:val="3C1C6B44"/>
    <w:rsid w:val="43967A49"/>
    <w:rsid w:val="443D2C32"/>
    <w:rsid w:val="44423AAB"/>
    <w:rsid w:val="47154692"/>
    <w:rsid w:val="47242D51"/>
    <w:rsid w:val="486E07DC"/>
    <w:rsid w:val="4A4C6847"/>
    <w:rsid w:val="4F3B0062"/>
    <w:rsid w:val="509D7954"/>
    <w:rsid w:val="513C0EB9"/>
    <w:rsid w:val="57605DFA"/>
    <w:rsid w:val="58324C9C"/>
    <w:rsid w:val="59127D16"/>
    <w:rsid w:val="5C6F02A9"/>
    <w:rsid w:val="5E6558B3"/>
    <w:rsid w:val="5EE5503B"/>
    <w:rsid w:val="60AB02A9"/>
    <w:rsid w:val="6D637130"/>
    <w:rsid w:val="6EBA099E"/>
    <w:rsid w:val="72A36504"/>
    <w:rsid w:val="74A2775C"/>
    <w:rsid w:val="75500A81"/>
    <w:rsid w:val="77AA68A7"/>
    <w:rsid w:val="7D937367"/>
    <w:rsid w:val="7EBC025C"/>
  </w:rsids>
  <w:docVars>
    <w:docVar w:name="commondata" w:val="eyJoZGlkIjoiN2JlZGVlOTE3YTVjZWIyNzg2ZWFhNTZjMDQ1NWE4NmM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semiHidden="0" w:uiPriority="0" w:unhideWhenUsed="0" w:qFormat="1"/>
    <w:lsdException w:name="footer" w:semiHidden="0" w:uiPriority="0" w:unhideWhenUsed="0"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semiHidden="0" w:uiPriority="0" w:unhideWhenUsed="0"/>
    <w:lsdException w:name="macro" w:uiPriority="0"/>
    <w:lsdException w:name="toa heading" w:uiPriority="0"/>
    <w:lsdException w:name="List" w:semiHidden="0" w:uiPriority="0" w:unhideWhenUsed="0"/>
    <w:lsdException w:name="List Bullet" w:semiHidden="0" w:uiPriority="0" w:unhideWhenUsed="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semiHidden="0" w:uiPriority="1" w:qFormat="1"/>
    <w:lsdException w:name="Body Text" w:semiHidden="0" w:unhideWhenUsed="0" w:qFormat="1"/>
    <w:lsdException w:name="Body Text Indent" w:uiPriority="0"/>
    <w:lsdException w:name="List Continue" w:uiPriority="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semiHidden="0" w:uiPriority="0" w:unhideWhenUsed="0" w:qFormat="1"/>
    <w:lsdException w:name="E-mail Signature" w:uiPriority="0"/>
    <w:lsdException w:name="Normal (Web)" w:semiHidden="0" w:uiPriority="0" w:unhideWhenUsed="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0"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odyText">
    <w:name w:val="Body Text"/>
    <w:basedOn w:val="Normal"/>
    <w:uiPriority w:val="99"/>
    <w:qFormat/>
    <w:pPr>
      <w:spacing w:before="28"/>
      <w:ind w:left="100"/>
    </w:pPr>
    <w:rPr>
      <w:rFonts w:ascii="楷体" w:eastAsia="楷体" w:hAnsi="楷体"/>
      <w:szCs w:val="21"/>
    </w:rPr>
  </w:style>
  <w:style w:type="paragraph" w:styleId="PlainText">
    <w:name w:val="Plain Text"/>
    <w:basedOn w:val="Normal"/>
    <w:link w:val="Char"/>
    <w:qFormat/>
    <w:rPr>
      <w:rFonts w:ascii="宋体" w:eastAsia="宋体" w:hAnsi="Courier New" w:cs="Courier New"/>
      <w:szCs w:val="21"/>
    </w:rPr>
  </w:style>
  <w:style w:type="paragraph" w:styleId="BalloonText">
    <w:name w:val="Balloon Text"/>
    <w:basedOn w:val="Normal"/>
    <w:link w:val="Char0"/>
    <w:qFormat/>
    <w:rPr>
      <w:sz w:val="18"/>
      <w:szCs w:val="18"/>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Subtitle">
    <w:name w:val="Subtitle"/>
    <w:basedOn w:val="Normal"/>
    <w:next w:val="Normal"/>
    <w:link w:val="Char1"/>
    <w:qFormat/>
    <w:pPr>
      <w:spacing w:before="240" w:after="60" w:line="312" w:lineRule="auto"/>
      <w:jc w:val="center"/>
      <w:outlineLvl w:val="1"/>
    </w:pPr>
    <w:rPr>
      <w:rFonts w:ascii="Calibri" w:eastAsia="宋体" w:hAnsi="Calibri" w:cs="Times New Roman"/>
      <w:b/>
      <w:bCs/>
      <w:kern w:val="28"/>
      <w:sz w:val="32"/>
      <w:szCs w:val="32"/>
    </w:rPr>
  </w:style>
  <w:style w:type="paragraph" w:styleId="NormalWeb">
    <w:name w:val="Normal (Web)"/>
    <w:basedOn w:val="Normal"/>
    <w:qFormat/>
    <w:pPr>
      <w:spacing w:beforeAutospacing="1" w:afterAutospacing="1"/>
      <w:jc w:val="left"/>
    </w:pPr>
    <w:rPr>
      <w:kern w:val="0"/>
      <w:sz w:val="24"/>
    </w:rPr>
  </w:style>
  <w:style w:type="paragraph" w:styleId="Title">
    <w:name w:val="Title"/>
    <w:basedOn w:val="Normal"/>
    <w:next w:val="Normal"/>
    <w:link w:val="Char2"/>
    <w:qFormat/>
    <w:pPr>
      <w:spacing w:before="240" w:after="60"/>
      <w:jc w:val="center"/>
      <w:outlineLvl w:val="0"/>
    </w:pPr>
    <w:rPr>
      <w:rFonts w:ascii="Calibri Light" w:eastAsia="宋体" w:hAnsi="Calibri Light" w:cs="Times New Roman"/>
      <w:b/>
      <w:bCs/>
      <w:sz w:val="32"/>
      <w:szCs w:val="32"/>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rPr>
  </w:style>
  <w:style w:type="character" w:styleId="Hyperlink">
    <w:name w:val="Hyperlink"/>
    <w:qFormat/>
    <w:rPr>
      <w:color w:val="0000FF"/>
      <w:u w:val="single"/>
    </w:rPr>
  </w:style>
  <w:style w:type="character" w:customStyle="1" w:styleId="Char">
    <w:name w:val="纯文本 Char"/>
    <w:link w:val="PlainText"/>
    <w:qFormat/>
    <w:rPr>
      <w:rFonts w:ascii="宋体" w:eastAsia="宋体" w:hAnsi="Courier New" w:cs="Courier New"/>
      <w:kern w:val="2"/>
      <w:sz w:val="21"/>
      <w:szCs w:val="21"/>
    </w:rPr>
  </w:style>
  <w:style w:type="character" w:customStyle="1" w:styleId="Char0">
    <w:name w:val="批注框文本 Char"/>
    <w:link w:val="BalloonText"/>
    <w:qFormat/>
    <w:rPr>
      <w:rFonts w:ascii="Calibri" w:hAnsi="Calibri"/>
      <w:kern w:val="2"/>
      <w:sz w:val="18"/>
      <w:szCs w:val="18"/>
    </w:rPr>
  </w:style>
  <w:style w:type="character" w:customStyle="1" w:styleId="Char1">
    <w:name w:val="副标题 Char"/>
    <w:link w:val="Subtitle"/>
    <w:qFormat/>
    <w:rPr>
      <w:rFonts w:ascii="Calibri" w:eastAsia="宋体" w:hAnsi="Calibri" w:cs="Times New Roman"/>
      <w:b/>
      <w:bCs/>
      <w:kern w:val="28"/>
      <w:sz w:val="32"/>
      <w:szCs w:val="32"/>
    </w:rPr>
  </w:style>
  <w:style w:type="character" w:customStyle="1" w:styleId="Char2">
    <w:name w:val="标题 Char"/>
    <w:link w:val="Title"/>
    <w:qFormat/>
    <w:rPr>
      <w:rFonts w:ascii="Calibri Light" w:eastAsia="宋体" w:hAnsi="Calibri Light" w:cs="Times New Roman"/>
      <w:b/>
      <w:bCs/>
      <w:kern w:val="2"/>
      <w:sz w:val="32"/>
      <w:szCs w:val="32"/>
    </w:rPr>
  </w:style>
  <w:style w:type="table" w:customStyle="1" w:styleId="GridTable5DarkAccent6">
    <w:name w:val="Grid Table 5 Dark Accent 6"/>
    <w:basedOn w:val="TableNormal"/>
    <w:uiPriority w:val="50"/>
    <w:qFormat/>
    <w:rPr>
      <w:lang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70AD47"/>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70AD47"/>
      </w:tcPr>
    </w:tblStylePr>
    <w:tblStylePr w:type="lastCol">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Accent6">
    <w:name w:val="Grid Table 6 Colorful Accent 6"/>
    <w:basedOn w:val="TableNormal"/>
    <w:uiPriority w:val="51"/>
    <w:qFormat/>
    <w:rPr>
      <w:color w:val="538135"/>
      <w:lang w:eastAsia="en-US"/>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single" w:sz="12" w:space="0" w:color="A8D08D"/>
          <w:bottom w:val="nil"/>
          <w:right w:val="nil"/>
          <w:insideH w:val="nil"/>
          <w:insideV w:val="nil"/>
          <w:tl2br w:val="nil"/>
          <w:tr2bl w:val="nil"/>
        </w:tcBorders>
      </w:tcPr>
    </w:tblStylePr>
    <w:tblStylePr w:type="lastRow">
      <w:rPr>
        <w:b/>
        <w:bCs/>
      </w:rPr>
      <w:tblPr/>
      <w:tcPr>
        <w:tcBorders>
          <w:top w:val="double" w:sz="4" w:space="0" w:color="A8D08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Normal1">
    <w:name w:val="Normal_1"/>
    <w:qFormat/>
    <w:pPr>
      <w:widowControl w:val="0"/>
      <w:jc w:val="both"/>
    </w:pPr>
    <w:rPr>
      <w:rFonts w:ascii="Time New Romans" w:eastAsia="宋体" w:hAnsi="Time New Romans" w:cs="宋体"/>
      <w:kern w:val="2"/>
      <w:sz w:val="21"/>
      <w:szCs w:val="22"/>
      <w:lang w:val="en-US" w:eastAsia="zh-CN" w:bidi="ar-SA"/>
    </w:rPr>
  </w:style>
  <w:style w:type="paragraph" w:customStyle="1" w:styleId="a">
    <w:name w:val="仿宋"/>
    <w:basedOn w:val="Normal"/>
    <w:link w:val="Char3"/>
    <w:qFormat/>
    <w:pPr>
      <w:spacing w:line="360" w:lineRule="auto"/>
      <w:jc w:val="left"/>
    </w:pPr>
    <w:rPr>
      <w:rFonts w:ascii="Times New Roman" w:eastAsia="仿宋" w:hAnsi="Times New Roman"/>
    </w:rPr>
  </w:style>
  <w:style w:type="character" w:customStyle="1" w:styleId="Char3">
    <w:name w:val="仿宋 Char"/>
    <w:link w:val="a"/>
    <w:qFormat/>
    <w:locked/>
    <w:rPr>
      <w:rFonts w:eastAsia="仿宋"/>
      <w:kern w:val="2"/>
      <w:sz w:val="21"/>
      <w:szCs w:val="22"/>
    </w:rPr>
  </w:style>
  <w:style w:type="table" w:customStyle="1" w:styleId="GridTable4Accent6">
    <w:name w:val="Grid Table 4 Accent 6"/>
    <w:basedOn w:val="TableNormal"/>
    <w:uiPriority w:val="49"/>
    <w:qFormat/>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l2br w:val="nil"/>
          <w:tr2bl w:val="nil"/>
        </w:tcBorders>
        <w:shd w:val="clear" w:color="auto" w:fill="70AD47"/>
      </w:tcPr>
    </w:tblStylePr>
    <w:tblStylePr w:type="lastRow">
      <w:rPr>
        <w:b/>
        <w:bCs/>
      </w:rPr>
      <w:tblPr/>
      <w:tcPr>
        <w:tcBorders>
          <w:top w:val="double" w:sz="4" w:space="0" w:color="70AD47"/>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1">
    <w:name w:val="页眉1"/>
    <w:basedOn w:val="10"/>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customStyle="1" w:styleId="10">
    <w:name w:val="正文1"/>
    <w:qFormat/>
    <w:pPr>
      <w:widowControl w:val="0"/>
      <w:jc w:val="both"/>
    </w:pPr>
    <w:rPr>
      <w:rFonts w:ascii="Times New Roman" w:eastAsia="宋体" w:hAnsi="Times New Roman" w:cs="Times New Roman"/>
      <w:kern w:val="2"/>
      <w:sz w:val="21"/>
      <w:szCs w:val="22"/>
      <w:lang w:val="en-US" w:eastAsia="zh-CN" w:bidi="ar-SA"/>
    </w:rPr>
  </w:style>
  <w:style w:type="paragraph" w:customStyle="1" w:styleId="11">
    <w:name w:val="页脚1"/>
    <w:basedOn w:val="0"/>
    <w:uiPriority w:val="99"/>
    <w:unhideWhenUsed/>
    <w:qFormat/>
    <w:pPr>
      <w:tabs>
        <w:tab w:val="center" w:pos="4153"/>
        <w:tab w:val="right" w:pos="8306"/>
      </w:tabs>
      <w:snapToGrid w:val="0"/>
      <w:jc w:val="left"/>
    </w:pPr>
    <w:rPr>
      <w:kern w:val="0"/>
      <w:sz w:val="18"/>
      <w:szCs w:val="18"/>
    </w:rPr>
  </w:style>
  <w:style w:type="paragraph" w:customStyle="1" w:styleId="0">
    <w:name w:val="正文_0"/>
    <w:qFormat/>
    <w:pPr>
      <w:widowControl w:val="0"/>
      <w:jc w:val="both"/>
    </w:pPr>
    <w:rPr>
      <w:rFonts w:ascii="Times New Roman" w:eastAsia="宋体" w:hAnsi="Times New Roman" w:cs="Times New Roman"/>
      <w:kern w:val="2"/>
      <w:sz w:val="21"/>
      <w:szCs w:val="22"/>
      <w:lang w:val="en-US" w:eastAsia="zh-CN" w:bidi="ar-SA"/>
    </w:rPr>
  </w:style>
  <w:style w:type="table" w:customStyle="1" w:styleId="GridTable4">
    <w:name w:val="Grid Table 4"/>
    <w:basedOn w:val="TableNormal"/>
    <w:uiPriority w:val="49"/>
    <w:pPr>
      <w:jc w:val="center"/>
    </w:pPr>
    <w:tblPr>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jc w:val="center"/>
    </w:trPr>
    <w:tblStylePr w:type="firstRow">
      <w:rPr>
        <w:b/>
        <w:bCs/>
        <w:color w:val="FFFFFF"/>
      </w:rPr>
      <w:tblPr/>
      <w:tcPr>
        <w:shd w:val="clear" w:color="auto" w:fill="A0EEE1"/>
      </w:tcPr>
    </w:tblStylePr>
    <w:tblStylePr w:type="lastRow">
      <w:rPr>
        <w:b/>
        <w:bCs/>
      </w:rPr>
      <w:tblPr/>
      <w:tcPr>
        <w:tcBorders>
          <w:top w:val="double" w:sz="4" w:space="0" w:color="00000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tblStylePr w:type="band2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7</Pages>
  <Words>1551</Words>
  <Characters>1584</Characters>
  <Application>Microsoft Office Word</Application>
  <DocSecurity>0</DocSecurity>
  <Lines>0</Lines>
  <Paragraphs>0</Paragraphs>
  <ScaleCrop>false</ScaleCrop>
  <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刘翠荣</cp:lastModifiedBy>
  <cp:revision>0</cp:revision>
  <dcterms:created xsi:type="dcterms:W3CDTF">2022-07-17T14:59:00Z</dcterms:created>
  <dcterms:modified xsi:type="dcterms:W3CDTF">2025-03-02T08:34:52Z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