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232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Style w:val="14"/>
          <w:rFonts w:hint="default" w:ascii="Times New Roman" w:hAnsi="Times New Roman" w:cs="Times New Roman"/>
          <w:kern w:val="0"/>
          <w:sz w:val="36"/>
          <w:szCs w:val="36"/>
        </w:rPr>
      </w:pPr>
      <w:r>
        <w:rPr>
          <w:rFonts w:hint="eastAsia" w:ascii="Times New Roman" w:hAnsi="Times New Roman" w:cs="Times New Roman"/>
          <w:b/>
          <w:kern w:val="0"/>
          <w:sz w:val="36"/>
          <w:szCs w:val="36"/>
          <w:lang w:val="en-US" w:eastAsia="zh-CN" w:bidi="ar-SA"/>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10528300</wp:posOffset>
            </wp:positionV>
            <wp:extent cx="254000" cy="254000"/>
            <wp:effectExtent l="0" t="0" r="0" b="0"/>
            <wp:wrapNone/>
            <wp:docPr id="100109" name="图片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图片 100109"/>
                    <pic:cNvPicPr>
                      <a:picLocks noChangeAspect="1"/>
                    </pic:cNvPicPr>
                  </pic:nvPicPr>
                  <pic:blipFill>
                    <a:blip r:embed="rId6"/>
                    <a:stretch>
                      <a:fillRect/>
                    </a:stretch>
                  </pic:blipFill>
                  <pic:spPr>
                    <a:xfrm>
                      <a:off x="0" y="0"/>
                      <a:ext cx="254000" cy="2540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三</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0288"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w:t>
      </w:r>
      <w:r>
        <w:rPr>
          <w:rFonts w:hint="eastAsia" w:cs="Times New Roman"/>
          <w:b/>
          <w:kern w:val="0"/>
          <w:sz w:val="36"/>
          <w:szCs w:val="36"/>
          <w:lang w:val="en-US" w:eastAsia="zh-CN" w:bidi="ar-SA"/>
        </w:rPr>
        <w:t>产业转移</w:t>
      </w:r>
    </w:p>
    <w:p w14:paraId="35F94CBC">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宋体" w:cs="Times New Roman"/>
          <w:lang w:val="en-US" w:eastAsia="zh-CN"/>
        </w:rPr>
      </w:pPr>
      <w:r>
        <w:rPr>
          <w:rFonts w:hint="eastAsia" w:cs="Times New Roman"/>
          <w:lang w:val="en-US" w:eastAsia="zh-CN"/>
        </w:rPr>
        <w:t>一、选择题。</w:t>
      </w:r>
    </w:p>
    <w:p w14:paraId="73099ACB">
      <w:pPr>
        <w:shd w:val="clear" w:color="auto" w:fill="auto"/>
        <w:spacing w:line="360" w:lineRule="auto"/>
        <w:ind w:firstLine="560"/>
        <w:jc w:val="left"/>
        <w:textAlignment w:val="center"/>
      </w:pPr>
      <w:r>
        <w:rPr>
          <w:rFonts w:ascii="楷体" w:hAnsi="楷体" w:eastAsia="楷体" w:cs="楷体"/>
        </w:rPr>
        <w:t>江西省龙南市凭借与大湾区相邻的区位优势，出台一系列优惠政策，构建四通八达的交通网络，融入大湾区</w:t>
      </w:r>
      <w:r>
        <w:t>1</w:t>
      </w:r>
      <w:r>
        <w:rPr>
          <w:rFonts w:ascii="楷体" w:hAnsi="楷体" w:eastAsia="楷体" w:cs="楷体"/>
        </w:rPr>
        <w:t>小时经济圈，致力于打造大湾区电子信息产业转移最佳承接地，加快建设赣粤边区域产业合作示范区。目前，位于龙南市的赣州电子信息产业科技城</w:t>
      </w:r>
      <w:r>
        <w:t>70%</w:t>
      </w:r>
      <w:r>
        <w:rPr>
          <w:rFonts w:ascii="楷体" w:hAnsi="楷体" w:eastAsia="楷体" w:cs="楷体"/>
        </w:rPr>
        <w:t>以上的企业来自大湾区。图示意龙南市位置及高速铁路分布。完成下面小题。</w:t>
      </w:r>
    </w:p>
    <w:p w14:paraId="416D365E">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897505" cy="1943100"/>
            <wp:effectExtent l="0" t="0" r="17145" b="0"/>
            <wp:docPr id="100003" name="图片 100003" descr="@@@902c2746-6eb2-4710-a212-5033f5db50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902c2746-6eb2-4710-a212-5033f5db50d5"/>
                    <pic:cNvPicPr>
                      <a:picLocks noChangeAspect="1"/>
                    </pic:cNvPicPr>
                  </pic:nvPicPr>
                  <pic:blipFill>
                    <a:blip r:embed="rId8"/>
                    <a:stretch>
                      <a:fillRect/>
                    </a:stretch>
                  </pic:blipFill>
                  <pic:spPr>
                    <a:xfrm>
                      <a:off x="0" y="0"/>
                      <a:ext cx="2897505" cy="1943100"/>
                    </a:xfrm>
                    <a:prstGeom prst="rect">
                      <a:avLst/>
                    </a:prstGeom>
                  </pic:spPr>
                </pic:pic>
              </a:graphicData>
            </a:graphic>
          </wp:inline>
        </w:drawing>
      </w:r>
    </w:p>
    <w:p w14:paraId="312AF3FD">
      <w:pPr>
        <w:shd w:val="clear" w:color="auto" w:fill="auto"/>
        <w:spacing w:line="360" w:lineRule="auto"/>
        <w:jc w:val="left"/>
        <w:textAlignment w:val="center"/>
      </w:pPr>
      <w:r>
        <w:t>1．龙南市作为大湾区电子信息产业转移最佳承接地的区位优势有（</w:t>
      </w:r>
      <w:r>
        <w:rPr>
          <w:rFonts w:ascii="Times New Roman" w:hAnsi="Times New Roman" w:eastAsia="Times New Roman" w:cs="Times New Roman"/>
          <w:kern w:val="0"/>
          <w:sz w:val="24"/>
          <w:szCs w:val="24"/>
        </w:rPr>
        <w:t>   </w:t>
      </w:r>
      <w:r>
        <w:t>）</w:t>
      </w:r>
    </w:p>
    <w:p w14:paraId="0D67215B">
      <w:pPr>
        <w:shd w:val="clear" w:color="auto" w:fill="auto"/>
        <w:spacing w:line="360" w:lineRule="auto"/>
        <w:jc w:val="left"/>
        <w:textAlignment w:val="center"/>
      </w:pPr>
      <w:r>
        <w:t>①紧邻大湾区，融入大湾区1小时经济圈②高速化交通通畅，投资环境良好</w:t>
      </w:r>
    </w:p>
    <w:p w14:paraId="18D0E152">
      <w:pPr>
        <w:shd w:val="clear" w:color="auto" w:fill="auto"/>
        <w:spacing w:line="360" w:lineRule="auto"/>
        <w:jc w:val="left"/>
        <w:textAlignment w:val="center"/>
      </w:pPr>
      <w:r>
        <w:t>③著名的工业小镇，从业人员素质较高④劳动力丰富，工资水平较低</w:t>
      </w:r>
    </w:p>
    <w:p w14:paraId="5FEDB568">
      <w:pPr>
        <w:shd w:val="clear" w:color="auto" w:fill="auto"/>
        <w:tabs>
          <w:tab w:val="left" w:pos="2078"/>
          <w:tab w:val="left" w:pos="4156"/>
          <w:tab w:val="left" w:pos="6234"/>
        </w:tabs>
        <w:spacing w:line="360" w:lineRule="auto"/>
        <w:ind w:left="300"/>
        <w:jc w:val="left"/>
        <w:textAlignment w:val="center"/>
      </w:pPr>
      <w:r>
        <w:t>A．①②③</w:t>
      </w:r>
      <w:r>
        <w:tab/>
      </w:r>
      <w:r>
        <w:t>B．②③④</w:t>
      </w:r>
      <w:r>
        <w:tab/>
      </w:r>
      <w:r>
        <w:t>C．①②④</w:t>
      </w:r>
      <w:r>
        <w:tab/>
      </w:r>
      <w:r>
        <w:t>D．①③④</w:t>
      </w:r>
    </w:p>
    <w:p w14:paraId="10E1EC21">
      <w:pPr>
        <w:shd w:val="clear" w:color="auto" w:fill="auto"/>
        <w:spacing w:line="360" w:lineRule="auto"/>
        <w:jc w:val="left"/>
        <w:textAlignment w:val="center"/>
      </w:pPr>
      <w:r>
        <w:t>2．龙南市在科技创新方面应采取的有效措施是（</w:t>
      </w:r>
      <w:r>
        <w:rPr>
          <w:rFonts w:ascii="Times New Roman" w:hAnsi="Times New Roman" w:eastAsia="Times New Roman" w:cs="Times New Roman"/>
          <w:kern w:val="0"/>
          <w:sz w:val="24"/>
          <w:szCs w:val="24"/>
        </w:rPr>
        <w:t>   </w:t>
      </w:r>
      <w:r>
        <w:t>）</w:t>
      </w:r>
    </w:p>
    <w:p w14:paraId="7CC1406F">
      <w:pPr>
        <w:shd w:val="clear" w:color="auto" w:fill="auto"/>
        <w:tabs>
          <w:tab w:val="left" w:pos="4156"/>
        </w:tabs>
        <w:spacing w:line="360" w:lineRule="auto"/>
        <w:ind w:left="300"/>
        <w:jc w:val="left"/>
        <w:textAlignment w:val="center"/>
      </w:pPr>
      <w:r>
        <w:t>A．加大教育投资，培养科技人才</w:t>
      </w:r>
      <w:r>
        <w:tab/>
      </w:r>
      <w:r>
        <w:t>B．吸引人才，实现产学研一体化</w:t>
      </w:r>
    </w:p>
    <w:p w14:paraId="7A0707FC">
      <w:pPr>
        <w:shd w:val="clear" w:color="auto" w:fill="auto"/>
        <w:tabs>
          <w:tab w:val="left" w:pos="4156"/>
        </w:tabs>
        <w:spacing w:line="360" w:lineRule="auto"/>
        <w:ind w:left="300"/>
        <w:jc w:val="left"/>
        <w:textAlignment w:val="center"/>
      </w:pPr>
      <w:r>
        <w:t>C．普及职业教育，建立科研机构</w:t>
      </w:r>
      <w:r>
        <w:tab/>
      </w:r>
      <w:r>
        <w:t>D．营造优美环境，完善城市功能</w:t>
      </w:r>
    </w:p>
    <w:p w14:paraId="16833BDE">
      <w:pPr>
        <w:shd w:val="clear" w:color="auto" w:fill="auto"/>
        <w:spacing w:line="360" w:lineRule="auto"/>
        <w:ind w:firstLine="560"/>
        <w:jc w:val="left"/>
        <w:textAlignment w:val="center"/>
      </w:pPr>
      <w:r>
        <w:rPr>
          <w:rFonts w:ascii="楷体" w:hAnsi="楷体" w:eastAsia="楷体" w:cs="楷体"/>
        </w:rPr>
        <w:t>为了疏解北京非首都功能</w:t>
      </w:r>
      <w:r>
        <w:t>，</w:t>
      </w:r>
      <w:r>
        <w:rPr>
          <w:rFonts w:ascii="楷体" w:hAnsi="楷体" w:eastAsia="楷体" w:cs="楷体"/>
        </w:rPr>
        <w:t>国家规划建设雄安新区。雄安新区规划范围涉及河北省雄县、容城、安新</w:t>
      </w:r>
      <w:r>
        <w:t>3</w:t>
      </w:r>
      <w:r>
        <w:rPr>
          <w:rFonts w:ascii="楷体" w:hAnsi="楷体" w:eastAsia="楷体" w:cs="楷体"/>
        </w:rPr>
        <w:t>县及周边部分区域</w:t>
      </w:r>
      <w:r>
        <w:t>，</w:t>
      </w:r>
      <w:r>
        <w:rPr>
          <w:rFonts w:ascii="楷体" w:hAnsi="楷体" w:eastAsia="楷体" w:cs="楷体"/>
        </w:rPr>
        <w:t>处于北京、天津、保定腹地</w:t>
      </w:r>
      <w:r>
        <w:t>，</w:t>
      </w:r>
      <w:r>
        <w:rPr>
          <w:rFonts w:ascii="楷体" w:hAnsi="楷体" w:eastAsia="楷体" w:cs="楷体"/>
        </w:rPr>
        <w:t>与北京、天津基本等距离（大致</w:t>
      </w:r>
      <w:r>
        <w:t>111</w:t>
      </w:r>
      <w:r>
        <w:rPr>
          <w:rFonts w:ascii="楷体" w:hAnsi="楷体" w:eastAsia="楷体" w:cs="楷体"/>
        </w:rPr>
        <w:t>公里）</w:t>
      </w:r>
      <w:r>
        <w:t>，</w:t>
      </w:r>
      <w:r>
        <w:rPr>
          <w:rFonts w:ascii="楷体" w:hAnsi="楷体" w:eastAsia="楷体" w:cs="楷体"/>
        </w:rPr>
        <w:t>规划面积</w:t>
      </w:r>
      <w:r>
        <w:t>2000</w:t>
      </w:r>
      <w:r>
        <w:rPr>
          <w:rFonts w:ascii="楷体" w:hAnsi="楷体" w:eastAsia="楷体" w:cs="楷体"/>
        </w:rPr>
        <w:t>平方公里</w:t>
      </w:r>
      <w:r>
        <w:t>，</w:t>
      </w:r>
      <w:r>
        <w:rPr>
          <w:rFonts w:ascii="楷体" w:hAnsi="楷体" w:eastAsia="楷体" w:cs="楷体"/>
        </w:rPr>
        <w:t>具有交通便利</w:t>
      </w:r>
      <w:r>
        <w:t>，</w:t>
      </w:r>
      <w:r>
        <w:rPr>
          <w:rFonts w:ascii="楷体" w:hAnsi="楷体" w:eastAsia="楷体" w:cs="楷体"/>
        </w:rPr>
        <w:t>战略性优势的地理位置。下图示意雄安新区的位置</w:t>
      </w:r>
      <w:r>
        <w:t>，</w:t>
      </w:r>
      <w:r>
        <w:rPr>
          <w:rFonts w:ascii="楷体" w:hAnsi="楷体" w:eastAsia="楷体" w:cs="楷体"/>
        </w:rPr>
        <w:t>据此完成下列各题。</w:t>
      </w:r>
    </w:p>
    <w:p w14:paraId="7265EE15">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952750" cy="1558925"/>
            <wp:effectExtent l="0" t="0" r="6350" b="3175"/>
            <wp:docPr id="100005" name="图片 100005" descr="@@@f0e40050-60c3-48da-85c8-1d712416ba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0e40050-60c3-48da-85c8-1d712416ba97"/>
                    <pic:cNvPicPr>
                      <a:picLocks noChangeAspect="1"/>
                    </pic:cNvPicPr>
                  </pic:nvPicPr>
                  <pic:blipFill>
                    <a:blip r:embed="rId9"/>
                    <a:stretch>
                      <a:fillRect/>
                    </a:stretch>
                  </pic:blipFill>
                  <pic:spPr>
                    <a:xfrm>
                      <a:off x="0" y="0"/>
                      <a:ext cx="2952750" cy="1558925"/>
                    </a:xfrm>
                    <a:prstGeom prst="rect">
                      <a:avLst/>
                    </a:prstGeom>
                  </pic:spPr>
                </pic:pic>
              </a:graphicData>
            </a:graphic>
          </wp:inline>
        </w:drawing>
      </w:r>
    </w:p>
    <w:p w14:paraId="3389155F">
      <w:pPr>
        <w:shd w:val="clear" w:color="auto" w:fill="auto"/>
        <w:spacing w:line="360" w:lineRule="auto"/>
        <w:jc w:val="left"/>
        <w:textAlignment w:val="center"/>
      </w:pPr>
      <w:r>
        <w:t>3．下列属于设立雄安新区的区位优势（</w:t>
      </w:r>
      <w:r>
        <w:rPr>
          <w:rFonts w:ascii="Times New Roman" w:hAnsi="Times New Roman" w:eastAsia="Times New Roman" w:cs="Times New Roman"/>
          <w:kern w:val="0"/>
          <w:sz w:val="24"/>
          <w:szCs w:val="24"/>
        </w:rPr>
        <w:t>   </w:t>
      </w:r>
      <w:r>
        <w:t>）</w:t>
      </w:r>
    </w:p>
    <w:p w14:paraId="6FA37340">
      <w:pPr>
        <w:shd w:val="clear" w:color="auto" w:fill="auto"/>
        <w:spacing w:line="360" w:lineRule="auto"/>
        <w:jc w:val="left"/>
        <w:textAlignment w:val="center"/>
      </w:pPr>
      <w:r>
        <w:t>①地理上靠近北京，天津等核心城市②科技发达，矿产资源丰富</w:t>
      </w:r>
    </w:p>
    <w:p w14:paraId="7AFC2E21">
      <w:pPr>
        <w:shd w:val="clear" w:color="auto" w:fill="auto"/>
        <w:spacing w:line="360" w:lineRule="auto"/>
        <w:jc w:val="left"/>
        <w:textAlignment w:val="center"/>
      </w:pPr>
      <w:r>
        <w:t>③生态环境优良，环境承载力大心④国家政策的支持</w:t>
      </w:r>
    </w:p>
    <w:p w14:paraId="0550C7E8">
      <w:pPr>
        <w:shd w:val="clear" w:color="auto" w:fill="auto"/>
        <w:spacing w:line="360" w:lineRule="auto"/>
        <w:jc w:val="left"/>
        <w:textAlignment w:val="center"/>
      </w:pPr>
      <w:r>
        <w:t>⑤新区面积大，有足够的发展空间⑥产业基础雄厚</w:t>
      </w:r>
    </w:p>
    <w:p w14:paraId="049A9556">
      <w:pPr>
        <w:shd w:val="clear" w:color="auto" w:fill="auto"/>
        <w:tabs>
          <w:tab w:val="left" w:pos="4156"/>
        </w:tabs>
        <w:spacing w:line="360" w:lineRule="auto"/>
        <w:ind w:left="300"/>
        <w:jc w:val="left"/>
        <w:textAlignment w:val="center"/>
      </w:pPr>
      <w:r>
        <w:t>A．①②③④</w:t>
      </w:r>
      <w:r>
        <w:tab/>
      </w:r>
      <w:r>
        <w:t>B．①③④⑤</w:t>
      </w:r>
    </w:p>
    <w:p w14:paraId="6771D173">
      <w:pPr>
        <w:shd w:val="clear" w:color="auto" w:fill="auto"/>
        <w:tabs>
          <w:tab w:val="left" w:pos="4156"/>
        </w:tabs>
        <w:spacing w:line="360" w:lineRule="auto"/>
        <w:ind w:left="300"/>
        <w:jc w:val="left"/>
        <w:textAlignment w:val="center"/>
      </w:pPr>
      <w:r>
        <w:t>C．①④⑤⑥</w:t>
      </w:r>
      <w:r>
        <w:tab/>
      </w:r>
      <w:r>
        <w:t>D．①②④⑥</w:t>
      </w:r>
    </w:p>
    <w:p w14:paraId="19D7C9A6">
      <w:pPr>
        <w:shd w:val="clear" w:color="auto" w:fill="auto"/>
        <w:spacing w:line="360" w:lineRule="auto"/>
        <w:jc w:val="left"/>
        <w:textAlignment w:val="center"/>
      </w:pPr>
      <w:r>
        <w:t>4．下列推测北京有可能最先向雄安新区迁移的是（</w:t>
      </w:r>
      <w:r>
        <w:rPr>
          <w:rFonts w:ascii="Times New Roman" w:hAnsi="Times New Roman" w:eastAsia="Times New Roman" w:cs="Times New Roman"/>
          <w:kern w:val="0"/>
          <w:sz w:val="24"/>
          <w:szCs w:val="24"/>
        </w:rPr>
        <w:t>   </w:t>
      </w:r>
      <w:r>
        <w:t>）</w:t>
      </w:r>
    </w:p>
    <w:p w14:paraId="212FE90F">
      <w:pPr>
        <w:shd w:val="clear" w:color="auto" w:fill="auto"/>
        <w:tabs>
          <w:tab w:val="left" w:pos="4156"/>
        </w:tabs>
        <w:spacing w:line="360" w:lineRule="auto"/>
        <w:ind w:left="300"/>
        <w:jc w:val="left"/>
        <w:textAlignment w:val="center"/>
      </w:pPr>
      <w:r>
        <w:t>A．传统制造产业</w:t>
      </w:r>
      <w:r>
        <w:tab/>
      </w:r>
      <w:r>
        <w:t>B．高科技产业</w:t>
      </w:r>
    </w:p>
    <w:p w14:paraId="2880D63B">
      <w:pPr>
        <w:shd w:val="clear" w:color="auto" w:fill="auto"/>
        <w:tabs>
          <w:tab w:val="left" w:pos="4156"/>
        </w:tabs>
        <w:spacing w:line="360" w:lineRule="auto"/>
        <w:ind w:left="300"/>
        <w:jc w:val="left"/>
        <w:textAlignment w:val="center"/>
      </w:pPr>
      <w:r>
        <w:t>C．文教服务单位</w:t>
      </w:r>
      <w:r>
        <w:tab/>
      </w:r>
      <w:r>
        <w:t>D．国家权利机关</w:t>
      </w:r>
    </w:p>
    <w:p w14:paraId="53CE68AD">
      <w:pPr>
        <w:shd w:val="clear" w:color="auto" w:fill="auto"/>
        <w:spacing w:line="360" w:lineRule="auto"/>
        <w:jc w:val="left"/>
        <w:textAlignment w:val="center"/>
      </w:pPr>
      <w:r>
        <w:t>5．新区的建立对京津冀地区产生的影响叙述正确的是（</w:t>
      </w:r>
      <w:r>
        <w:rPr>
          <w:rFonts w:ascii="Times New Roman" w:hAnsi="Times New Roman" w:eastAsia="Times New Roman" w:cs="Times New Roman"/>
          <w:kern w:val="0"/>
          <w:sz w:val="24"/>
          <w:szCs w:val="24"/>
        </w:rPr>
        <w:t>   </w:t>
      </w:r>
      <w:r>
        <w:t>）</w:t>
      </w:r>
    </w:p>
    <w:p w14:paraId="15DF8AA8">
      <w:pPr>
        <w:shd w:val="clear" w:color="auto" w:fill="auto"/>
        <w:tabs>
          <w:tab w:val="left" w:pos="4156"/>
        </w:tabs>
        <w:spacing w:line="360" w:lineRule="auto"/>
        <w:ind w:left="300"/>
        <w:jc w:val="left"/>
        <w:textAlignment w:val="center"/>
      </w:pPr>
      <w:r>
        <w:t>A．北京的服务范围减小</w:t>
      </w:r>
      <w:r>
        <w:tab/>
      </w:r>
      <w:r>
        <w:t>B．促进河北产业结构调整</w:t>
      </w:r>
    </w:p>
    <w:p w14:paraId="1BCAAD8D">
      <w:pPr>
        <w:shd w:val="clear" w:color="auto" w:fill="auto"/>
        <w:tabs>
          <w:tab w:val="left" w:pos="4156"/>
        </w:tabs>
        <w:spacing w:line="360" w:lineRule="auto"/>
        <w:ind w:left="300"/>
        <w:jc w:val="left"/>
        <w:textAlignment w:val="center"/>
      </w:pPr>
      <w:r>
        <w:t>C．新区的生态环境下降</w:t>
      </w:r>
      <w:r>
        <w:tab/>
      </w:r>
      <w:r>
        <w:t>D．天津经济发展面临竞争</w:t>
      </w:r>
    </w:p>
    <w:p w14:paraId="35517C0B">
      <w:pPr>
        <w:shd w:val="clear" w:color="auto" w:fill="auto"/>
        <w:spacing w:line="360" w:lineRule="auto"/>
        <w:ind w:firstLine="560"/>
        <w:jc w:val="left"/>
        <w:textAlignment w:val="center"/>
      </w:pPr>
      <w:r>
        <w:rPr>
          <w:rFonts w:ascii="楷体" w:hAnsi="楷体" w:eastAsia="楷体" w:cs="楷体"/>
        </w:rPr>
        <w:t>湘南承接产业转移示范区范围包括衡阳、郴州、永州三市，成为第四个国家级承接产业转移示范区。近几年广东就有近万家企业转移至此，产业产值达万亿规模。图为湘南承接产业转移示范区局部图。完成下面小题。</w:t>
      </w:r>
    </w:p>
    <w:p w14:paraId="586D8E17">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775585" cy="1851025"/>
            <wp:effectExtent l="0" t="0" r="5715" b="3175"/>
            <wp:docPr id="100007" name="图片 100007" descr="@@@bff9e5ab-477f-4eba-b045-4209315845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ff9e5ab-477f-4eba-b045-42093158453c"/>
                    <pic:cNvPicPr>
                      <a:picLocks noChangeAspect="1"/>
                    </pic:cNvPicPr>
                  </pic:nvPicPr>
                  <pic:blipFill>
                    <a:blip r:embed="rId10"/>
                    <a:stretch>
                      <a:fillRect/>
                    </a:stretch>
                  </pic:blipFill>
                  <pic:spPr>
                    <a:xfrm>
                      <a:off x="0" y="0"/>
                      <a:ext cx="2775585" cy="1851025"/>
                    </a:xfrm>
                    <a:prstGeom prst="rect">
                      <a:avLst/>
                    </a:prstGeom>
                  </pic:spPr>
                </pic:pic>
              </a:graphicData>
            </a:graphic>
          </wp:inline>
        </w:drawing>
      </w:r>
    </w:p>
    <w:p w14:paraId="3BFB143B">
      <w:pPr>
        <w:shd w:val="clear" w:color="auto" w:fill="auto"/>
        <w:spacing w:line="360" w:lineRule="auto"/>
        <w:jc w:val="left"/>
        <w:textAlignment w:val="center"/>
      </w:pPr>
      <w:r>
        <w:t>6．湘南地区承接广东省大量产业的主要优势有（</w:t>
      </w:r>
      <w:r>
        <w:rPr>
          <w:rFonts w:ascii="Times New Roman" w:hAnsi="Times New Roman" w:eastAsia="Times New Roman" w:cs="Times New Roman"/>
          <w:kern w:val="0"/>
          <w:sz w:val="24"/>
          <w:szCs w:val="24"/>
        </w:rPr>
        <w:t>   </w:t>
      </w:r>
      <w:r>
        <w:t>）</w:t>
      </w:r>
    </w:p>
    <w:p w14:paraId="0E843947">
      <w:pPr>
        <w:shd w:val="clear" w:color="auto" w:fill="auto"/>
        <w:spacing w:line="360" w:lineRule="auto"/>
        <w:jc w:val="left"/>
        <w:textAlignment w:val="center"/>
      </w:pPr>
      <w:r>
        <w:t>①劳动力价格低②区域生态环境好③科学技术水平高④空间位置邻近</w:t>
      </w:r>
    </w:p>
    <w:p w14:paraId="38B449B2">
      <w:pPr>
        <w:shd w:val="clear" w:color="auto" w:fill="auto"/>
        <w:tabs>
          <w:tab w:val="left" w:pos="2078"/>
          <w:tab w:val="left" w:pos="4156"/>
          <w:tab w:val="left" w:pos="6234"/>
        </w:tabs>
        <w:spacing w:line="360" w:lineRule="auto"/>
        <w:ind w:left="300"/>
        <w:jc w:val="left"/>
        <w:textAlignment w:val="center"/>
      </w:pPr>
      <w:r>
        <w:t>A．①②</w:t>
      </w:r>
      <w:r>
        <w:tab/>
      </w:r>
      <w:r>
        <w:t>B．①④</w:t>
      </w:r>
      <w:r>
        <w:tab/>
      </w:r>
      <w:r>
        <w:t>C．②③</w:t>
      </w:r>
      <w:r>
        <w:tab/>
      </w:r>
      <w:r>
        <w:t>D．③④</w:t>
      </w:r>
    </w:p>
    <w:p w14:paraId="3F0D1B94">
      <w:pPr>
        <w:shd w:val="clear" w:color="auto" w:fill="auto"/>
        <w:spacing w:line="360" w:lineRule="auto"/>
        <w:jc w:val="left"/>
        <w:textAlignment w:val="center"/>
      </w:pPr>
      <w:r>
        <w:t>7．大量的产业转移到湘南地区，对当地的有利的社会意义有（</w:t>
      </w:r>
      <w:r>
        <w:rPr>
          <w:rFonts w:ascii="Times New Roman" w:hAnsi="Times New Roman" w:eastAsia="Times New Roman" w:cs="Times New Roman"/>
          <w:kern w:val="0"/>
          <w:sz w:val="24"/>
          <w:szCs w:val="24"/>
        </w:rPr>
        <w:t>   </w:t>
      </w:r>
      <w:r>
        <w:t>）</w:t>
      </w:r>
    </w:p>
    <w:p w14:paraId="529726D1">
      <w:pPr>
        <w:shd w:val="clear" w:color="auto" w:fill="auto"/>
        <w:tabs>
          <w:tab w:val="left" w:pos="2078"/>
          <w:tab w:val="left" w:pos="4156"/>
          <w:tab w:val="left" w:pos="6234"/>
        </w:tabs>
        <w:spacing w:line="360" w:lineRule="auto"/>
        <w:ind w:left="300"/>
        <w:jc w:val="left"/>
        <w:textAlignment w:val="center"/>
      </w:pPr>
      <w:r>
        <w:t>A．加快产业结构的调整</w:t>
      </w:r>
      <w:r>
        <w:tab/>
      </w:r>
      <w:r>
        <w:t>B．促进当地劳动力就业</w:t>
      </w:r>
      <w:r>
        <w:tab/>
      </w:r>
      <w:r>
        <w:t>C．加强区域的资源开发</w:t>
      </w:r>
      <w:r>
        <w:tab/>
      </w:r>
      <w:r>
        <w:t>D．带动区域的经济发展</w:t>
      </w:r>
    </w:p>
    <w:p w14:paraId="64124647">
      <w:pPr>
        <w:shd w:val="clear" w:color="auto" w:fill="auto"/>
        <w:spacing w:line="360" w:lineRule="auto"/>
        <w:jc w:val="left"/>
        <w:textAlignment w:val="center"/>
      </w:pPr>
      <w:r>
        <w:t>8．近年来湘南地区各城市制订了较高的企业准入门槛，最受青睐的产业是（</w:t>
      </w:r>
      <w:r>
        <w:rPr>
          <w:rFonts w:ascii="Times New Roman" w:hAnsi="Times New Roman" w:eastAsia="Times New Roman" w:cs="Times New Roman"/>
          <w:kern w:val="0"/>
          <w:sz w:val="24"/>
          <w:szCs w:val="24"/>
        </w:rPr>
        <w:t>   </w:t>
      </w:r>
      <w:r>
        <w:t>）</w:t>
      </w:r>
    </w:p>
    <w:p w14:paraId="1075C8FF">
      <w:pPr>
        <w:shd w:val="clear" w:color="auto" w:fill="auto"/>
        <w:tabs>
          <w:tab w:val="left" w:pos="2078"/>
          <w:tab w:val="left" w:pos="4156"/>
          <w:tab w:val="left" w:pos="6234"/>
        </w:tabs>
        <w:spacing w:line="360" w:lineRule="auto"/>
        <w:ind w:left="300"/>
        <w:jc w:val="left"/>
        <w:textAlignment w:val="center"/>
      </w:pPr>
      <w:r>
        <w:t>A．采矿业</w:t>
      </w:r>
      <w:r>
        <w:tab/>
      </w:r>
      <w:r>
        <w:t>B．电子装配</w:t>
      </w:r>
      <w:r>
        <w:tab/>
      </w:r>
      <w:r>
        <w:t>C．纺织业</w:t>
      </w:r>
      <w:r>
        <w:tab/>
      </w:r>
      <w:r>
        <w:t>D．先进装备制造</w:t>
      </w:r>
    </w:p>
    <w:p w14:paraId="24DAE534">
      <w:pPr>
        <w:shd w:val="clear" w:color="auto" w:fill="auto"/>
        <w:spacing w:line="360" w:lineRule="auto"/>
        <w:ind w:firstLine="560"/>
        <w:jc w:val="left"/>
        <w:textAlignment w:val="center"/>
      </w:pPr>
      <w:r>
        <w:rPr>
          <w:rFonts w:ascii="楷体" w:hAnsi="楷体" w:eastAsia="楷体" w:cs="楷体"/>
        </w:rPr>
        <w:t>微笑曲线认为，在制造业全球产业链中，附加值更多体现在设计和销售两端，处于中间环节的制造附加值最低。</w:t>
      </w:r>
      <w:r>
        <w:t>K</w:t>
      </w:r>
      <w:r>
        <w:rPr>
          <w:rFonts w:ascii="楷体" w:hAnsi="楷体" w:eastAsia="楷体" w:cs="楷体"/>
        </w:rPr>
        <w:t>公司充分利用新技术与传统制造业融合，完成在流水线上大批量个性定制服装制作，形成了</w:t>
      </w:r>
      <w:r>
        <w:t>“</w:t>
      </w:r>
      <w:r>
        <w:rPr>
          <w:rFonts w:ascii="楷体" w:hAnsi="楷体" w:eastAsia="楷体" w:cs="楷体"/>
        </w:rPr>
        <w:t>穹顶弧线</w:t>
      </w:r>
      <w:r>
        <w:t>”</w:t>
      </w:r>
      <w:r>
        <w:rPr>
          <w:rFonts w:ascii="楷体" w:hAnsi="楷体" w:eastAsia="楷体" w:cs="楷体"/>
        </w:rPr>
        <w:t>价值分布模式。下图示意微笑曲线和</w:t>
      </w:r>
      <w:r>
        <w:t>“</w:t>
      </w:r>
      <w:r>
        <w:rPr>
          <w:rFonts w:ascii="楷体" w:hAnsi="楷体" w:eastAsia="楷体" w:cs="楷体"/>
        </w:rPr>
        <w:t>穹顶弧线</w:t>
      </w:r>
      <w:r>
        <w:t>”</w:t>
      </w:r>
      <w:r>
        <w:rPr>
          <w:rFonts w:ascii="楷体" w:hAnsi="楷体" w:eastAsia="楷体" w:cs="楷体"/>
        </w:rPr>
        <w:t>价值分布模式。据此完成下面小题。</w:t>
      </w:r>
    </w:p>
    <w:p w14:paraId="2E354BD7">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1847215" cy="1165860"/>
            <wp:effectExtent l="0" t="0" r="6985" b="2540"/>
            <wp:docPr id="100009" name="图片 100009" descr="@@@f0e072f0-f37c-41e0-a1a0-9f5b4ce2f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0e072f0-f37c-41e0-a1a0-9f5b4ce2f8a1"/>
                    <pic:cNvPicPr>
                      <a:picLocks noChangeAspect="1"/>
                    </pic:cNvPicPr>
                  </pic:nvPicPr>
                  <pic:blipFill>
                    <a:blip r:embed="rId11"/>
                    <a:stretch>
                      <a:fillRect/>
                    </a:stretch>
                  </pic:blipFill>
                  <pic:spPr>
                    <a:xfrm>
                      <a:off x="0" y="0"/>
                      <a:ext cx="1847215" cy="1165860"/>
                    </a:xfrm>
                    <a:prstGeom prst="rect">
                      <a:avLst/>
                    </a:prstGeom>
                  </pic:spPr>
                </pic:pic>
              </a:graphicData>
            </a:graphic>
          </wp:inline>
        </w:drawing>
      </w:r>
    </w:p>
    <w:p w14:paraId="43E005C1">
      <w:pPr>
        <w:shd w:val="clear" w:color="auto" w:fill="auto"/>
        <w:spacing w:line="360" w:lineRule="auto"/>
        <w:jc w:val="left"/>
        <w:textAlignment w:val="center"/>
      </w:pPr>
      <w:r>
        <w:t>9．产业链附加值分配符合“微笑曲线”的是（</w:t>
      </w:r>
      <w:r>
        <w:rPr>
          <w:rFonts w:ascii="Times New Roman" w:hAnsi="Times New Roman" w:eastAsia="Times New Roman" w:cs="Times New Roman"/>
          <w:kern w:val="0"/>
          <w:sz w:val="24"/>
          <w:szCs w:val="24"/>
        </w:rPr>
        <w:t>   </w:t>
      </w:r>
      <w:r>
        <w:t>）</w:t>
      </w:r>
    </w:p>
    <w:p w14:paraId="4FDD9E8C">
      <w:pPr>
        <w:shd w:val="clear" w:color="auto" w:fill="auto"/>
        <w:spacing w:line="360" w:lineRule="auto"/>
        <w:jc w:val="left"/>
        <w:textAlignment w:val="center"/>
      </w:pPr>
      <w:r>
        <w:t>①资本密集型产业②资源密集型产业③劳动密集型产业④知识密集型产业</w:t>
      </w:r>
    </w:p>
    <w:p w14:paraId="065599E3">
      <w:pPr>
        <w:shd w:val="clear" w:color="auto" w:fill="auto"/>
        <w:tabs>
          <w:tab w:val="left" w:pos="2078"/>
          <w:tab w:val="left" w:pos="4156"/>
          <w:tab w:val="left" w:pos="6234"/>
        </w:tabs>
        <w:spacing w:line="360" w:lineRule="auto"/>
        <w:ind w:left="300"/>
        <w:jc w:val="left"/>
        <w:textAlignment w:val="center"/>
      </w:pPr>
      <w:r>
        <w:t>A．①②</w:t>
      </w:r>
      <w:r>
        <w:tab/>
      </w:r>
      <w:r>
        <w:t>B．②③</w:t>
      </w:r>
      <w:r>
        <w:tab/>
      </w:r>
      <w:r>
        <w:t>C．③④</w:t>
      </w:r>
      <w:r>
        <w:tab/>
      </w:r>
      <w:r>
        <w:t>D．①④</w:t>
      </w:r>
    </w:p>
    <w:p w14:paraId="42A5B4AE">
      <w:pPr>
        <w:shd w:val="clear" w:color="auto" w:fill="auto"/>
        <w:spacing w:line="360" w:lineRule="auto"/>
        <w:jc w:val="left"/>
        <w:textAlignment w:val="center"/>
      </w:pPr>
      <w:r>
        <w:t>10．与传统服装企业相比，K公司（</w:t>
      </w:r>
      <w:r>
        <w:rPr>
          <w:rFonts w:ascii="Times New Roman" w:hAnsi="Times New Roman" w:eastAsia="Times New Roman" w:cs="Times New Roman"/>
          <w:kern w:val="0"/>
          <w:sz w:val="24"/>
          <w:szCs w:val="24"/>
        </w:rPr>
        <w:t>   </w:t>
      </w:r>
      <w:r>
        <w:t>）</w:t>
      </w:r>
    </w:p>
    <w:p w14:paraId="121D9798">
      <w:pPr>
        <w:shd w:val="clear" w:color="auto" w:fill="auto"/>
        <w:tabs>
          <w:tab w:val="left" w:pos="2078"/>
          <w:tab w:val="left" w:pos="4156"/>
          <w:tab w:val="left" w:pos="6234"/>
        </w:tabs>
        <w:spacing w:line="360" w:lineRule="auto"/>
        <w:ind w:left="380"/>
        <w:jc w:val="left"/>
        <w:textAlignment w:val="center"/>
      </w:pPr>
      <w:r>
        <w:t>A．产品库存较少</w:t>
      </w:r>
      <w:r>
        <w:tab/>
      </w:r>
      <w:r>
        <w:t>B．工资水平较低</w:t>
      </w:r>
      <w:r>
        <w:tab/>
      </w:r>
      <w:r>
        <w:t>C．研发投入较少</w:t>
      </w:r>
      <w:r>
        <w:tab/>
      </w:r>
      <w:r>
        <w:t>D．产品价格较低</w:t>
      </w:r>
    </w:p>
    <w:p w14:paraId="11AEF8A1">
      <w:pPr>
        <w:shd w:val="clear" w:color="auto" w:fill="auto"/>
        <w:spacing w:line="360" w:lineRule="auto"/>
        <w:jc w:val="left"/>
        <w:textAlignment w:val="center"/>
      </w:pPr>
      <w:r>
        <w:t>11．最有利于K公司形成“穹顶弧线”价值分布模式的措施是（</w:t>
      </w:r>
      <w:r>
        <w:rPr>
          <w:rFonts w:ascii="Times New Roman" w:hAnsi="Times New Roman" w:eastAsia="Times New Roman" w:cs="Times New Roman"/>
          <w:kern w:val="0"/>
          <w:sz w:val="24"/>
          <w:szCs w:val="24"/>
        </w:rPr>
        <w:t>   </w:t>
      </w:r>
      <w:r>
        <w:t>）</w:t>
      </w:r>
    </w:p>
    <w:p w14:paraId="127FCC57">
      <w:pPr>
        <w:shd w:val="clear" w:color="auto" w:fill="auto"/>
        <w:tabs>
          <w:tab w:val="left" w:pos="2078"/>
          <w:tab w:val="left" w:pos="4156"/>
          <w:tab w:val="left" w:pos="6234"/>
        </w:tabs>
        <w:spacing w:line="360" w:lineRule="auto"/>
        <w:ind w:left="380"/>
        <w:jc w:val="left"/>
        <w:textAlignment w:val="center"/>
      </w:pPr>
      <w:r>
        <w:t>A．研发个性化</w:t>
      </w:r>
      <w:r>
        <w:tab/>
      </w:r>
      <w:r>
        <w:t>B．生产智能化</w:t>
      </w:r>
      <w:r>
        <w:tab/>
      </w:r>
      <w:r>
        <w:t>C．服务标准化</w:t>
      </w:r>
      <w:r>
        <w:tab/>
      </w:r>
      <w:r>
        <w:t>D．品牌高端化</w:t>
      </w:r>
    </w:p>
    <w:p w14:paraId="59DC2DA4">
      <w:pPr>
        <w:shd w:val="clear" w:color="auto" w:fill="auto"/>
        <w:spacing w:line="360" w:lineRule="auto"/>
        <w:ind w:firstLine="560"/>
        <w:jc w:val="left"/>
        <w:textAlignment w:val="center"/>
      </w:pPr>
      <w:r>
        <w:rPr>
          <w:rFonts w:ascii="楷体" w:hAnsi="楷体" w:eastAsia="楷体" w:cs="楷体"/>
        </w:rPr>
        <w:t>欧美等国对产自我国的许多工业产品征收关税并采取限量措施，而对来自非洲国家生产的工业产品则免关税且无限量措施。近年来，我国面向欧美的制鞋等企业相继来到埃塞俄比亚投资办厂。据此，完成下面小题。</w:t>
      </w:r>
    </w:p>
    <w:p w14:paraId="7F12909B">
      <w:pPr>
        <w:shd w:val="clear" w:color="auto" w:fill="auto"/>
        <w:spacing w:line="360" w:lineRule="auto"/>
        <w:jc w:val="left"/>
        <w:textAlignment w:val="center"/>
      </w:pPr>
      <w:r>
        <w:t>12．影响我国面向欧美的制鞋等企业到埃塞俄比亚投资办厂的主要因素是（</w:t>
      </w:r>
      <w:r>
        <w:rPr>
          <w:rFonts w:ascii="Times New Roman" w:hAnsi="Times New Roman" w:eastAsia="Times New Roman" w:cs="Times New Roman"/>
          <w:kern w:val="0"/>
          <w:sz w:val="24"/>
          <w:szCs w:val="24"/>
        </w:rPr>
        <w:t>   </w:t>
      </w:r>
      <w:r>
        <w:t>）</w:t>
      </w:r>
    </w:p>
    <w:p w14:paraId="4B2047BE">
      <w:pPr>
        <w:shd w:val="clear" w:color="auto" w:fill="auto"/>
        <w:tabs>
          <w:tab w:val="left" w:pos="2078"/>
          <w:tab w:val="left" w:pos="4156"/>
          <w:tab w:val="left" w:pos="6234"/>
        </w:tabs>
        <w:spacing w:line="360" w:lineRule="auto"/>
        <w:ind w:left="380"/>
        <w:jc w:val="left"/>
        <w:textAlignment w:val="center"/>
      </w:pPr>
      <w:r>
        <w:t>A．政策</w:t>
      </w:r>
      <w:r>
        <w:tab/>
      </w:r>
      <w:r>
        <w:t>B．市场</w:t>
      </w:r>
      <w:r>
        <w:tab/>
      </w:r>
      <w:r>
        <w:t>C．技术</w:t>
      </w:r>
      <w:r>
        <w:tab/>
      </w:r>
      <w:r>
        <w:t>D．劳动力</w:t>
      </w:r>
    </w:p>
    <w:p w14:paraId="125D465F">
      <w:pPr>
        <w:shd w:val="clear" w:color="auto" w:fill="auto"/>
        <w:spacing w:line="360" w:lineRule="auto"/>
        <w:jc w:val="left"/>
        <w:textAlignment w:val="center"/>
      </w:pPr>
      <w:r>
        <w:t>13．我国制鞋等企业到埃塞俄比亚投资办厂对当地地理环境的影响有（</w:t>
      </w:r>
      <w:r>
        <w:rPr>
          <w:rFonts w:ascii="Times New Roman" w:hAnsi="Times New Roman" w:eastAsia="Times New Roman" w:cs="Times New Roman"/>
          <w:kern w:val="0"/>
          <w:sz w:val="24"/>
          <w:szCs w:val="24"/>
        </w:rPr>
        <w:t>   </w:t>
      </w:r>
      <w:r>
        <w:t>）</w:t>
      </w:r>
    </w:p>
    <w:p w14:paraId="6C5B457F">
      <w:pPr>
        <w:shd w:val="clear" w:color="auto" w:fill="auto"/>
        <w:spacing w:line="360" w:lineRule="auto"/>
        <w:jc w:val="left"/>
        <w:textAlignment w:val="center"/>
      </w:pPr>
      <w:r>
        <w:t>①减少资源消耗 ②促进产业结构调整 ③降低污染程度 ④增加就业机会</w:t>
      </w:r>
    </w:p>
    <w:p w14:paraId="4EB27E45">
      <w:pPr>
        <w:shd w:val="clear" w:color="auto" w:fill="auto"/>
        <w:tabs>
          <w:tab w:val="left" w:pos="2078"/>
          <w:tab w:val="left" w:pos="4156"/>
          <w:tab w:val="left" w:pos="6234"/>
        </w:tabs>
        <w:spacing w:line="360" w:lineRule="auto"/>
        <w:ind w:left="380"/>
        <w:jc w:val="left"/>
        <w:textAlignment w:val="center"/>
      </w:pPr>
      <w:r>
        <w:t>A．①②</w:t>
      </w:r>
      <w:r>
        <w:tab/>
      </w:r>
      <w:r>
        <w:t>B．①③</w:t>
      </w:r>
      <w:r>
        <w:tab/>
      </w:r>
      <w:r>
        <w:t>C．②④</w:t>
      </w:r>
      <w:r>
        <w:tab/>
      </w:r>
      <w:r>
        <w:t>D．③④</w:t>
      </w:r>
    </w:p>
    <w:p w14:paraId="391F6274">
      <w:pPr>
        <w:shd w:val="clear" w:color="auto" w:fill="auto"/>
        <w:spacing w:line="360" w:lineRule="auto"/>
        <w:ind w:firstLine="560"/>
        <w:jc w:val="left"/>
        <w:textAlignment w:val="center"/>
      </w:pPr>
      <w:r>
        <w:rPr>
          <w:rFonts w:ascii="楷体" w:hAnsi="楷体" w:eastAsia="楷体" w:cs="楷体"/>
        </w:rPr>
        <w:t>2005年以来，大量企业家和家庭作坊主从武汉、广州等地回流至汉川、仙桃、天门等地，继续从事服装生产和经营。图1示意武汉都市圈内部分城镇和工业园区分布。图2示意创业回流的三个阶段。据此完成下面小题。</w:t>
      </w:r>
    </w:p>
    <w:p w14:paraId="593E10C9">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1257935" cy="924560"/>
            <wp:effectExtent l="0" t="0" r="12065" b="2540"/>
            <wp:docPr id="100011" name="图片 100011" descr="@@@b521aacf-4a96-43ba-9530-46843a7b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b521aacf-4a96-43ba-9530-46843a7b5526"/>
                    <pic:cNvPicPr>
                      <a:picLocks noChangeAspect="1"/>
                    </pic:cNvPicPr>
                  </pic:nvPicPr>
                  <pic:blipFill>
                    <a:blip r:embed="rId12"/>
                    <a:stretch>
                      <a:fillRect/>
                    </a:stretch>
                  </pic:blipFill>
                  <pic:spPr>
                    <a:xfrm>
                      <a:off x="0" y="0"/>
                      <a:ext cx="1257935" cy="924560"/>
                    </a:xfrm>
                    <a:prstGeom prst="rect">
                      <a:avLst/>
                    </a:prstGeom>
                  </pic:spPr>
                </pic:pic>
              </a:graphicData>
            </a:graphic>
          </wp:inline>
        </w:drawing>
      </w:r>
      <w:r>
        <w:rPr>
          <w:rFonts w:hint="eastAsia" w:cs="Times New Roman"/>
          <w:strike w:val="0"/>
          <w:kern w:val="0"/>
          <w:sz w:val="24"/>
          <w:szCs w:val="24"/>
          <w:u w:val="none"/>
          <w:lang w:val="en-US" w:eastAsia="zh-CN"/>
        </w:rPr>
        <w:t xml:space="preserve">   </w:t>
      </w:r>
      <w:r>
        <w:rPr>
          <w:rFonts w:ascii="Times New Roman" w:hAnsi="Times New Roman" w:eastAsia="Times New Roman" w:cs="Times New Roman"/>
          <w:strike w:val="0"/>
          <w:kern w:val="0"/>
          <w:sz w:val="24"/>
          <w:szCs w:val="24"/>
          <w:u w:val="none"/>
        </w:rPr>
        <w:drawing>
          <wp:inline distT="0" distB="0" distL="114300" distR="114300">
            <wp:extent cx="2734310" cy="891540"/>
            <wp:effectExtent l="0" t="0" r="8890" b="10160"/>
            <wp:docPr id="100013" name="图片 100013" descr="@@@054a43de-ea59-48be-9b5a-6b0e4cdcc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054a43de-ea59-48be-9b5a-6b0e4cdccda3"/>
                    <pic:cNvPicPr>
                      <a:picLocks noChangeAspect="1"/>
                    </pic:cNvPicPr>
                  </pic:nvPicPr>
                  <pic:blipFill>
                    <a:blip r:embed="rId13"/>
                    <a:stretch>
                      <a:fillRect/>
                    </a:stretch>
                  </pic:blipFill>
                  <pic:spPr>
                    <a:xfrm>
                      <a:off x="0" y="0"/>
                      <a:ext cx="2734310" cy="891540"/>
                    </a:xfrm>
                    <a:prstGeom prst="rect">
                      <a:avLst/>
                    </a:prstGeom>
                  </pic:spPr>
                </pic:pic>
              </a:graphicData>
            </a:graphic>
          </wp:inline>
        </w:drawing>
      </w:r>
    </w:p>
    <w:p w14:paraId="761F2030">
      <w:pPr>
        <w:shd w:val="clear" w:color="auto" w:fill="auto"/>
        <w:spacing w:line="360" w:lineRule="auto"/>
        <w:jc w:val="left"/>
        <w:textAlignment w:val="center"/>
      </w:pPr>
      <w:r>
        <w:t>14．2005—2010年，大量服装企业从武汉迁至汉川的主要原因是（</w:t>
      </w:r>
      <w:r>
        <w:rPr>
          <w:rFonts w:ascii="Times New Roman" w:hAnsi="Times New Roman" w:eastAsia="Times New Roman" w:cs="Times New Roman"/>
          <w:kern w:val="0"/>
          <w:sz w:val="24"/>
          <w:szCs w:val="24"/>
        </w:rPr>
        <w:t>   </w:t>
      </w:r>
      <w:r>
        <w:t>）</w:t>
      </w:r>
    </w:p>
    <w:p w14:paraId="4C3B9DA6">
      <w:pPr>
        <w:shd w:val="clear" w:color="auto" w:fill="auto"/>
        <w:spacing w:line="360" w:lineRule="auto"/>
        <w:jc w:val="left"/>
        <w:textAlignment w:val="center"/>
      </w:pPr>
      <w:r>
        <w:t>①武汉劳动力需求少②汉川生产成本低</w:t>
      </w:r>
    </w:p>
    <w:p w14:paraId="1C478444">
      <w:pPr>
        <w:shd w:val="clear" w:color="auto" w:fill="auto"/>
        <w:spacing w:line="360" w:lineRule="auto"/>
        <w:jc w:val="left"/>
        <w:textAlignment w:val="center"/>
      </w:pPr>
      <w:r>
        <w:t>③武汉产业结构升级④汉川劳动力素质高</w:t>
      </w:r>
    </w:p>
    <w:p w14:paraId="2CB17175">
      <w:pPr>
        <w:shd w:val="clear" w:color="auto" w:fill="auto"/>
        <w:tabs>
          <w:tab w:val="left" w:pos="2078"/>
          <w:tab w:val="left" w:pos="4156"/>
          <w:tab w:val="left" w:pos="6234"/>
        </w:tabs>
        <w:spacing w:line="360" w:lineRule="auto"/>
        <w:ind w:left="380"/>
        <w:jc w:val="left"/>
        <w:textAlignment w:val="center"/>
      </w:pPr>
      <w:r>
        <w:t>A．①②</w:t>
      </w:r>
      <w:r>
        <w:tab/>
      </w:r>
      <w:r>
        <w:t>B．①④</w:t>
      </w:r>
      <w:r>
        <w:tab/>
      </w:r>
      <w:r>
        <w:t>C．②③</w:t>
      </w:r>
      <w:r>
        <w:tab/>
      </w:r>
      <w:r>
        <w:t>D．③④</w:t>
      </w:r>
    </w:p>
    <w:p w14:paraId="1185654C">
      <w:pPr>
        <w:shd w:val="clear" w:color="auto" w:fill="auto"/>
        <w:spacing w:line="360" w:lineRule="auto"/>
        <w:jc w:val="left"/>
        <w:textAlignment w:val="center"/>
      </w:pPr>
      <w:r>
        <w:t>15．2010—2016年，武汉市服装企业加速向仙桃毛嘴镇等地转移，而不再迁往汉川，其主要原因是（</w:t>
      </w:r>
      <w:r>
        <w:rPr>
          <w:rFonts w:ascii="Times New Roman" w:hAnsi="Times New Roman" w:eastAsia="Times New Roman" w:cs="Times New Roman"/>
          <w:kern w:val="0"/>
          <w:sz w:val="24"/>
          <w:szCs w:val="24"/>
        </w:rPr>
        <w:t>   </w:t>
      </w:r>
      <w:r>
        <w:t>）</w:t>
      </w:r>
    </w:p>
    <w:p w14:paraId="7201FAD1">
      <w:pPr>
        <w:shd w:val="clear" w:color="auto" w:fill="auto"/>
        <w:tabs>
          <w:tab w:val="left" w:pos="4156"/>
        </w:tabs>
        <w:spacing w:line="360" w:lineRule="auto"/>
        <w:ind w:left="380"/>
        <w:jc w:val="left"/>
        <w:textAlignment w:val="center"/>
      </w:pPr>
      <w:r>
        <w:t>A．毛嘴镇技术进步大</w:t>
      </w:r>
      <w:r>
        <w:tab/>
      </w:r>
      <w:r>
        <w:t>B．汉川市工业用地饱和</w:t>
      </w:r>
    </w:p>
    <w:p w14:paraId="56F3FB9C">
      <w:pPr>
        <w:shd w:val="clear" w:color="auto" w:fill="auto"/>
        <w:tabs>
          <w:tab w:val="left" w:pos="4156"/>
        </w:tabs>
        <w:spacing w:line="360" w:lineRule="auto"/>
        <w:ind w:left="380"/>
        <w:jc w:val="left"/>
        <w:textAlignment w:val="center"/>
      </w:pPr>
      <w:r>
        <w:t>C．毛嘴镇市场潜力大</w:t>
      </w:r>
      <w:r>
        <w:tab/>
      </w:r>
      <w:r>
        <w:t>D．汉川市原料供给紧张</w:t>
      </w:r>
    </w:p>
    <w:p w14:paraId="55B369FE">
      <w:pPr>
        <w:shd w:val="clear" w:color="auto" w:fill="auto"/>
        <w:spacing w:line="360" w:lineRule="auto"/>
        <w:jc w:val="left"/>
        <w:textAlignment w:val="center"/>
      </w:pPr>
      <w:r>
        <w:t>16．2016年以来，天门市家庭作坊主依托当地农村自建房作为产业空间，其主要目的是（</w:t>
      </w:r>
      <w:r>
        <w:rPr>
          <w:rFonts w:ascii="Times New Roman" w:hAnsi="Times New Roman" w:eastAsia="Times New Roman" w:cs="Times New Roman"/>
          <w:kern w:val="0"/>
          <w:sz w:val="24"/>
          <w:szCs w:val="24"/>
        </w:rPr>
        <w:t>   </w:t>
      </w:r>
      <w:r>
        <w:t>）</w:t>
      </w:r>
    </w:p>
    <w:p w14:paraId="641FFCC6">
      <w:pPr>
        <w:shd w:val="clear" w:color="auto" w:fill="auto"/>
        <w:tabs>
          <w:tab w:val="left" w:pos="4156"/>
        </w:tabs>
        <w:spacing w:line="360" w:lineRule="auto"/>
        <w:ind w:left="380"/>
        <w:jc w:val="left"/>
        <w:textAlignment w:val="center"/>
      </w:pPr>
      <w:r>
        <w:t>A．加快城市化进程</w:t>
      </w:r>
      <w:r>
        <w:tab/>
      </w:r>
      <w:r>
        <w:t>B．节约土地资源</w:t>
      </w:r>
    </w:p>
    <w:p w14:paraId="756E5D50">
      <w:pPr>
        <w:shd w:val="clear" w:color="auto" w:fill="auto"/>
        <w:tabs>
          <w:tab w:val="left" w:pos="4156"/>
        </w:tabs>
        <w:spacing w:line="360" w:lineRule="auto"/>
        <w:ind w:left="380"/>
        <w:jc w:val="left"/>
        <w:textAlignment w:val="center"/>
      </w:pPr>
      <w:r>
        <w:t>C．便于农民工就业</w:t>
      </w:r>
      <w:r>
        <w:tab/>
      </w:r>
      <w:r>
        <w:t>D．降低生产成本</w:t>
      </w:r>
    </w:p>
    <w:p w14:paraId="6A25C35A">
      <w:pPr>
        <w:shd w:val="clear" w:color="auto" w:fill="auto"/>
        <w:spacing w:line="360" w:lineRule="auto"/>
        <w:jc w:val="left"/>
        <w:textAlignment w:val="center"/>
        <w:rPr>
          <w:rFonts w:hint="default" w:eastAsia="宋体"/>
          <w:lang w:val="en-US" w:eastAsia="zh-CN"/>
        </w:rPr>
      </w:pPr>
      <w:r>
        <w:rPr>
          <w:rFonts w:hint="eastAsia"/>
          <w:lang w:val="en-US" w:eastAsia="zh-CN"/>
        </w:rPr>
        <w:t>二、非选择题。</w:t>
      </w:r>
    </w:p>
    <w:p w14:paraId="1A8E51B1">
      <w:pPr>
        <w:shd w:val="clear" w:color="auto" w:fill="auto"/>
        <w:spacing w:line="360" w:lineRule="auto"/>
        <w:jc w:val="left"/>
        <w:textAlignment w:val="center"/>
      </w:pPr>
      <w:r>
        <w:t>1</w:t>
      </w:r>
      <w:r>
        <w:rPr>
          <w:rFonts w:hint="eastAsia"/>
          <w:lang w:val="en-US" w:eastAsia="zh-CN"/>
        </w:rPr>
        <w:t>7</w:t>
      </w:r>
      <w:r>
        <w:t>．阅读图文材料回答下列问题。</w:t>
      </w:r>
    </w:p>
    <w:p w14:paraId="322C2E87">
      <w:pPr>
        <w:shd w:val="clear" w:color="auto" w:fill="auto"/>
        <w:spacing w:line="360" w:lineRule="auto"/>
        <w:ind w:firstLine="560"/>
        <w:jc w:val="left"/>
        <w:textAlignment w:val="center"/>
      </w:pPr>
      <w:r>
        <w:rPr>
          <w:rFonts w:ascii="楷体" w:hAnsi="楷体" w:eastAsia="楷体" w:cs="楷体"/>
        </w:rPr>
        <w:t>我国从</w:t>
      </w:r>
      <w:r>
        <w:t>20</w:t>
      </w:r>
      <w:r>
        <w:rPr>
          <w:rFonts w:ascii="楷体" w:hAnsi="楷体" w:eastAsia="楷体" w:cs="楷体"/>
        </w:rPr>
        <w:t>世纪</w:t>
      </w:r>
      <w:r>
        <w:t>80</w:t>
      </w:r>
      <w:r>
        <w:rPr>
          <w:rFonts w:ascii="楷体" w:hAnsi="楷体" w:eastAsia="楷体" w:cs="楷体"/>
        </w:rPr>
        <w:t>年代开始，由于社会政治稳定、市场潜力巨大、劳动力成本低、产业配套能力强和现代物流发展快等优势，成为接受国际产业转移的主阵地。而珠江三角洲地区又处于我国改革开放的前沿阵地，到目前，它已经出现了两次大规模的产业转移与升级。</w:t>
      </w:r>
    </w:p>
    <w:p w14:paraId="74FE2E6D">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2458085" cy="1057910"/>
            <wp:effectExtent l="0" t="0" r="18415" b="8890"/>
            <wp:docPr id="100015" name="图片 100015" descr="@@@2026b59cdbbd437f9e9525a203265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2026b59cdbbd437f9e9525a2032659b5"/>
                    <pic:cNvPicPr>
                      <a:picLocks noChangeAspect="1"/>
                    </pic:cNvPicPr>
                  </pic:nvPicPr>
                  <pic:blipFill>
                    <a:blip r:embed="rId14"/>
                    <a:stretch>
                      <a:fillRect/>
                    </a:stretch>
                  </pic:blipFill>
                  <pic:spPr>
                    <a:xfrm>
                      <a:off x="0" y="0"/>
                      <a:ext cx="2458085" cy="1057910"/>
                    </a:xfrm>
                    <a:prstGeom prst="rect">
                      <a:avLst/>
                    </a:prstGeom>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2553335" cy="1049655"/>
            <wp:effectExtent l="0" t="0" r="18415" b="17145"/>
            <wp:docPr id="100017" name="图片 100017" descr="@@@f019f34be482450ea5ee11bcc9a9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019f34be482450ea5ee11bcc9a93795"/>
                    <pic:cNvPicPr>
                      <a:picLocks noChangeAspect="1"/>
                    </pic:cNvPicPr>
                  </pic:nvPicPr>
                  <pic:blipFill>
                    <a:blip r:embed="rId15"/>
                    <a:stretch>
                      <a:fillRect/>
                    </a:stretch>
                  </pic:blipFill>
                  <pic:spPr>
                    <a:xfrm>
                      <a:off x="0" y="0"/>
                      <a:ext cx="2553335" cy="1049655"/>
                    </a:xfrm>
                    <a:prstGeom prst="rect">
                      <a:avLst/>
                    </a:prstGeom>
                  </pic:spPr>
                </pic:pic>
              </a:graphicData>
            </a:graphic>
          </wp:inline>
        </w:drawing>
      </w:r>
    </w:p>
    <w:p w14:paraId="10DC5F84">
      <w:pPr>
        <w:shd w:val="clear" w:color="auto" w:fill="auto"/>
        <w:spacing w:line="360" w:lineRule="auto"/>
        <w:jc w:val="left"/>
        <w:textAlignment w:val="center"/>
      </w:pPr>
      <w:r>
        <w:t>(1)简要分析说明珠江三角洲地区工业发展的有利区位件。</w:t>
      </w:r>
    </w:p>
    <w:p w14:paraId="6C142335">
      <w:pPr>
        <w:shd w:val="clear" w:color="auto" w:fill="auto"/>
        <w:spacing w:line="360" w:lineRule="auto"/>
        <w:jc w:val="left"/>
        <w:textAlignment w:val="center"/>
      </w:pPr>
    </w:p>
    <w:p w14:paraId="253E0F8A">
      <w:pPr>
        <w:shd w:val="clear" w:color="auto" w:fill="auto"/>
        <w:spacing w:line="360" w:lineRule="auto"/>
        <w:jc w:val="left"/>
        <w:textAlignment w:val="center"/>
      </w:pPr>
    </w:p>
    <w:p w14:paraId="0C8C3A5E">
      <w:pPr>
        <w:shd w:val="clear" w:color="auto" w:fill="auto"/>
        <w:spacing w:line="360" w:lineRule="auto"/>
        <w:jc w:val="left"/>
        <w:textAlignment w:val="center"/>
      </w:pPr>
      <w:r>
        <w:t>(2)图中A代表的产业是什么?在第一次产业转移中珠江三角洲地区A产业形成与发展的主要原因是什么?</w:t>
      </w:r>
    </w:p>
    <w:p w14:paraId="51802B83">
      <w:pPr>
        <w:shd w:val="clear" w:color="auto" w:fill="auto"/>
        <w:spacing w:line="360" w:lineRule="auto"/>
        <w:jc w:val="left"/>
        <w:textAlignment w:val="center"/>
      </w:pPr>
    </w:p>
    <w:p w14:paraId="0F41EC43">
      <w:pPr>
        <w:shd w:val="clear" w:color="auto" w:fill="auto"/>
        <w:spacing w:line="360" w:lineRule="auto"/>
        <w:jc w:val="left"/>
        <w:textAlignment w:val="center"/>
      </w:pPr>
    </w:p>
    <w:p w14:paraId="6054F6FB">
      <w:pPr>
        <w:shd w:val="clear" w:color="auto" w:fill="auto"/>
        <w:spacing w:line="360" w:lineRule="auto"/>
        <w:jc w:val="left"/>
        <w:textAlignment w:val="center"/>
      </w:pPr>
      <w:bookmarkStart w:id="0" w:name="_GoBack"/>
      <w:bookmarkEnd w:id="0"/>
      <w:r>
        <w:t>(3)制约珠江三角洲地区工业进一步发展的主要原因有哪些?</w:t>
      </w:r>
    </w:p>
    <w:p w14:paraId="6F5029BE">
      <w:pPr>
        <w:shd w:val="clear" w:color="auto" w:fill="auto"/>
        <w:spacing w:line="360" w:lineRule="auto"/>
        <w:jc w:val="left"/>
        <w:textAlignment w:val="center"/>
        <w:rPr>
          <w:rFonts w:hint="default"/>
        </w:rPr>
      </w:pPr>
    </w:p>
    <w:sectPr>
      <w:headerReference r:id="rId3" w:type="default"/>
      <w:footerReference r:id="rId4" w:type="default"/>
      <w:pgSz w:w="11906" w:h="16838"/>
      <w:pgMar w:top="1418" w:right="1077" w:bottom="1418"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BBD9">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09E88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m9aDcAgAAJgYAAA4AAABkcnMvZTJvRG9jLnhtbK1US27bMBDdF+gd&#10;CO4VSY7iyEbkwLGiooDRBEiLrmmKsohSJEHSn7Totr1BV91033PlHB1Klh2nRRGg9UIecsg3894M&#10;5+Jy2wi0ZsZyJTMcn0QYMUlVyeUyw+/eFkGKkXVElkQoyTJ8zyy+nLx8cbHRYzZQtRIlMwhApB1v&#10;dIZr5/Q4DC2tWUPsidJMgrNSpiEOlmYZloZsAL0R4SCKhuFGmVIbRZm1sJt3TrxDNM8BVFXFKcsV&#10;XTVMug7VMEEcULI11xZP2myrilF3U1WWOSQyDExd+4UgYC/8N5xckPHSEF1zukuBPCeFJ5wawiUE&#10;3UPlxBG0Mvw3qIZTo6yq3AlVTdgRaRUBFnH0RJu7mmjWcgGprd6Lbv8fLH2zvjWIlxk+A0kkaaDi&#10;D9++Pnz/+fDjC4I9EGij7RjO3Wk46bZXagtt0+9b2PS8t5Vp/D8wQuAHrPu9vGzrEPWX0kGaRuCi&#10;4OsXgB8ermtj3SumGuSNDBuoXysrWc+t6472R3w0qQouRFtDIdEmw8NTSPnIA+BC+h3IAjB2Vleb&#10;T6NodJ1ep0mQDIbXQRLleTAtZkkwLOLzs/w0n83y+LPHi5NxzcuSSR+v75M4eV4ddr3SVXjfKVYJ&#10;Xno4n5I1y8VMGLQm0KdF+/MKQ/KPjoXHabRuYPWEUjxIoqvBKCiG6XmQFMlZMDqP0iCKR1ejYZSM&#10;krw4pjTnkv07pSP1HyVNxr5ge24LQeiHv1Lz6RyogQJ94ULfh12/ecttF1uQyJsLVd5DbxrVPW+r&#10;acEh6JxYd0sMvGfoOZh47gY+lVDQJ2pnYVQr8/FP+/48lBe8GG1gPmRYwjjESLyW8PwA0PWG6Y1F&#10;b8hVM1NQyBgmqaatCReME71ZGdW8hzE49THARSSFSBl2vTlz3YyCMUrZdNoeWmnDl3V3AYaHJm4u&#10;7zT1YdoW0tOVg/fQPpODKiClX8D4aEXdjTo/nx6v21OH8T7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opvWg3AIAACYGAAAOAAAAAAAAAAEAIAAAAB8BAABkcnMvZTJvRG9jLnhtbFBLBQYA&#10;AAAABgAGAFkBAABtBgAAAAA=&#10;">
              <v:fill on="f" focussize="0,0"/>
              <v:stroke on="f" weight="0.5pt"/>
              <v:imagedata o:title=""/>
              <o:lock v:ext="edit" aspectratio="f"/>
              <v:textbox inset="0mm,0mm,0mm,0mm" style="mso-fit-shape-to-text:t;">
                <w:txbxContent>
                  <w:p w14:paraId="7909E88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22AE">
    <w:pPr>
      <w:pStyle w:val="9"/>
      <w:pBdr>
        <w:bottom w:val="none" w:color="auto" w:sz="0" w:space="0"/>
      </w:pBdr>
      <w:tabs>
        <w:tab w:val="clear" w:pos="4153"/>
      </w:tabs>
    </w:pPr>
  </w:p>
  <w:p w14:paraId="59A34025">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N2FjZTcxYTEwMzA1NDE0NWZjNmZiZTJhY2E0OGQ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104201"/>
    <w:rsid w:val="012610ED"/>
    <w:rsid w:val="014D4677"/>
    <w:rsid w:val="01F114A6"/>
    <w:rsid w:val="02050EBC"/>
    <w:rsid w:val="025829A1"/>
    <w:rsid w:val="027F6AB2"/>
    <w:rsid w:val="02A80DC2"/>
    <w:rsid w:val="03016D8D"/>
    <w:rsid w:val="03373831"/>
    <w:rsid w:val="03D026B7"/>
    <w:rsid w:val="045822D5"/>
    <w:rsid w:val="04B2205A"/>
    <w:rsid w:val="05002624"/>
    <w:rsid w:val="05382A9D"/>
    <w:rsid w:val="054560B1"/>
    <w:rsid w:val="057E7745"/>
    <w:rsid w:val="05AF2A40"/>
    <w:rsid w:val="05C81319"/>
    <w:rsid w:val="05D943E7"/>
    <w:rsid w:val="064E336B"/>
    <w:rsid w:val="06AE1934"/>
    <w:rsid w:val="0772095E"/>
    <w:rsid w:val="07B05960"/>
    <w:rsid w:val="07CD4764"/>
    <w:rsid w:val="083D3AF0"/>
    <w:rsid w:val="084340E8"/>
    <w:rsid w:val="088D24DE"/>
    <w:rsid w:val="08BD2EB0"/>
    <w:rsid w:val="091B505B"/>
    <w:rsid w:val="09430104"/>
    <w:rsid w:val="094E5731"/>
    <w:rsid w:val="09977789"/>
    <w:rsid w:val="09B552FC"/>
    <w:rsid w:val="0A0E5F8B"/>
    <w:rsid w:val="0AB17A25"/>
    <w:rsid w:val="0AF825E7"/>
    <w:rsid w:val="0B722321"/>
    <w:rsid w:val="0CA912FB"/>
    <w:rsid w:val="0D285D49"/>
    <w:rsid w:val="0E67321C"/>
    <w:rsid w:val="0ED86C2A"/>
    <w:rsid w:val="0F8D4DAC"/>
    <w:rsid w:val="100F27BF"/>
    <w:rsid w:val="106E1B51"/>
    <w:rsid w:val="10C36704"/>
    <w:rsid w:val="11B90BA4"/>
    <w:rsid w:val="11D97A8E"/>
    <w:rsid w:val="123E18E0"/>
    <w:rsid w:val="12AF174C"/>
    <w:rsid w:val="132165D7"/>
    <w:rsid w:val="13464C4C"/>
    <w:rsid w:val="13BF07CD"/>
    <w:rsid w:val="14422F5D"/>
    <w:rsid w:val="14425B55"/>
    <w:rsid w:val="145F6743"/>
    <w:rsid w:val="15196249"/>
    <w:rsid w:val="163A3999"/>
    <w:rsid w:val="164D0E65"/>
    <w:rsid w:val="16810304"/>
    <w:rsid w:val="16EA5024"/>
    <w:rsid w:val="171960E2"/>
    <w:rsid w:val="17712A16"/>
    <w:rsid w:val="18752DBF"/>
    <w:rsid w:val="1A004525"/>
    <w:rsid w:val="1A1E6252"/>
    <w:rsid w:val="1CCA7119"/>
    <w:rsid w:val="1DE57CB9"/>
    <w:rsid w:val="1E5C08B8"/>
    <w:rsid w:val="1F6B0692"/>
    <w:rsid w:val="1F795554"/>
    <w:rsid w:val="1FC504A4"/>
    <w:rsid w:val="20683767"/>
    <w:rsid w:val="20C12EE1"/>
    <w:rsid w:val="22947786"/>
    <w:rsid w:val="22D12A8E"/>
    <w:rsid w:val="231D565B"/>
    <w:rsid w:val="23533809"/>
    <w:rsid w:val="23A015CF"/>
    <w:rsid w:val="23A45F21"/>
    <w:rsid w:val="23A8571A"/>
    <w:rsid w:val="24F911FE"/>
    <w:rsid w:val="251D7CD6"/>
    <w:rsid w:val="25274927"/>
    <w:rsid w:val="256F2F84"/>
    <w:rsid w:val="258E3733"/>
    <w:rsid w:val="25E50807"/>
    <w:rsid w:val="25E66CC5"/>
    <w:rsid w:val="25F24CDE"/>
    <w:rsid w:val="289160F1"/>
    <w:rsid w:val="28E163FE"/>
    <w:rsid w:val="29BC2488"/>
    <w:rsid w:val="2A8713DC"/>
    <w:rsid w:val="2AC56CC9"/>
    <w:rsid w:val="2B89773A"/>
    <w:rsid w:val="2B905ED6"/>
    <w:rsid w:val="2BD95966"/>
    <w:rsid w:val="2C067D8A"/>
    <w:rsid w:val="2DB256DE"/>
    <w:rsid w:val="2DB94CBF"/>
    <w:rsid w:val="2E24417A"/>
    <w:rsid w:val="2E642E7C"/>
    <w:rsid w:val="2FF52EA4"/>
    <w:rsid w:val="30B11E3E"/>
    <w:rsid w:val="3255465D"/>
    <w:rsid w:val="32607DFF"/>
    <w:rsid w:val="326E42CA"/>
    <w:rsid w:val="328B00E0"/>
    <w:rsid w:val="32DE59A4"/>
    <w:rsid w:val="335C021F"/>
    <w:rsid w:val="33B914A9"/>
    <w:rsid w:val="34612EE6"/>
    <w:rsid w:val="34784B02"/>
    <w:rsid w:val="348E0C53"/>
    <w:rsid w:val="360325C6"/>
    <w:rsid w:val="3666141D"/>
    <w:rsid w:val="36D0536B"/>
    <w:rsid w:val="3732588E"/>
    <w:rsid w:val="377A1C07"/>
    <w:rsid w:val="37B0702F"/>
    <w:rsid w:val="37E6636C"/>
    <w:rsid w:val="382E19DC"/>
    <w:rsid w:val="384E20AD"/>
    <w:rsid w:val="38673286"/>
    <w:rsid w:val="39CB4AB6"/>
    <w:rsid w:val="39E027F5"/>
    <w:rsid w:val="3B6645DA"/>
    <w:rsid w:val="3C2123AD"/>
    <w:rsid w:val="3C504A40"/>
    <w:rsid w:val="3DA64985"/>
    <w:rsid w:val="3E03620E"/>
    <w:rsid w:val="3E272866"/>
    <w:rsid w:val="3EA97E3E"/>
    <w:rsid w:val="3ED61844"/>
    <w:rsid w:val="3EDD5562"/>
    <w:rsid w:val="3EF10ADF"/>
    <w:rsid w:val="402F2182"/>
    <w:rsid w:val="40744FF3"/>
    <w:rsid w:val="42221763"/>
    <w:rsid w:val="42334BE8"/>
    <w:rsid w:val="425925FB"/>
    <w:rsid w:val="428D1224"/>
    <w:rsid w:val="42E552AE"/>
    <w:rsid w:val="43054396"/>
    <w:rsid w:val="43234C5C"/>
    <w:rsid w:val="438A4CDB"/>
    <w:rsid w:val="43BD5CC6"/>
    <w:rsid w:val="43F37075"/>
    <w:rsid w:val="44676E58"/>
    <w:rsid w:val="44775DE2"/>
    <w:rsid w:val="454A75E2"/>
    <w:rsid w:val="45B93656"/>
    <w:rsid w:val="465A6BE7"/>
    <w:rsid w:val="46AB65B2"/>
    <w:rsid w:val="46BA58D8"/>
    <w:rsid w:val="472560DC"/>
    <w:rsid w:val="478437FF"/>
    <w:rsid w:val="48CE7418"/>
    <w:rsid w:val="48F77700"/>
    <w:rsid w:val="4A201189"/>
    <w:rsid w:val="4A237CA2"/>
    <w:rsid w:val="4A800BE6"/>
    <w:rsid w:val="4AC469A4"/>
    <w:rsid w:val="4B306168"/>
    <w:rsid w:val="4C3F7486"/>
    <w:rsid w:val="4C92608E"/>
    <w:rsid w:val="4D3C3BE1"/>
    <w:rsid w:val="4E502C1F"/>
    <w:rsid w:val="4EED7375"/>
    <w:rsid w:val="4F1B16A7"/>
    <w:rsid w:val="4F282B03"/>
    <w:rsid w:val="4FD03A76"/>
    <w:rsid w:val="4FD41318"/>
    <w:rsid w:val="50095543"/>
    <w:rsid w:val="506D39BB"/>
    <w:rsid w:val="50A85454"/>
    <w:rsid w:val="50AD51A8"/>
    <w:rsid w:val="50DC55E7"/>
    <w:rsid w:val="50DD3C75"/>
    <w:rsid w:val="50EF7380"/>
    <w:rsid w:val="52462783"/>
    <w:rsid w:val="52642A60"/>
    <w:rsid w:val="527252B8"/>
    <w:rsid w:val="52727066"/>
    <w:rsid w:val="527B3FC2"/>
    <w:rsid w:val="528E1787"/>
    <w:rsid w:val="52F42171"/>
    <w:rsid w:val="536E7341"/>
    <w:rsid w:val="538518BD"/>
    <w:rsid w:val="53B35B89"/>
    <w:rsid w:val="540713B7"/>
    <w:rsid w:val="54204E31"/>
    <w:rsid w:val="544C02E3"/>
    <w:rsid w:val="54627989"/>
    <w:rsid w:val="548E3F00"/>
    <w:rsid w:val="54A30129"/>
    <w:rsid w:val="54B2360E"/>
    <w:rsid w:val="54BC4C43"/>
    <w:rsid w:val="54BD39AF"/>
    <w:rsid w:val="54DA288A"/>
    <w:rsid w:val="54DB2368"/>
    <w:rsid w:val="55256CDB"/>
    <w:rsid w:val="552D49DB"/>
    <w:rsid w:val="553612EB"/>
    <w:rsid w:val="56B310B3"/>
    <w:rsid w:val="56EA18C1"/>
    <w:rsid w:val="57BF5BC4"/>
    <w:rsid w:val="58020E8D"/>
    <w:rsid w:val="587A61B8"/>
    <w:rsid w:val="589C77E9"/>
    <w:rsid w:val="58B1295C"/>
    <w:rsid w:val="598558D1"/>
    <w:rsid w:val="59AC5554"/>
    <w:rsid w:val="59CF4A2E"/>
    <w:rsid w:val="5A2D5EAF"/>
    <w:rsid w:val="5A5D6BA1"/>
    <w:rsid w:val="5A8022B1"/>
    <w:rsid w:val="5B14203F"/>
    <w:rsid w:val="5BBD399E"/>
    <w:rsid w:val="5C143B11"/>
    <w:rsid w:val="5C2C0286"/>
    <w:rsid w:val="5C2F421A"/>
    <w:rsid w:val="5C317996"/>
    <w:rsid w:val="5C6F2BEA"/>
    <w:rsid w:val="5C9408FA"/>
    <w:rsid w:val="5D047419"/>
    <w:rsid w:val="5D1458EA"/>
    <w:rsid w:val="5E581946"/>
    <w:rsid w:val="5EAB4F91"/>
    <w:rsid w:val="5F011976"/>
    <w:rsid w:val="5FE36800"/>
    <w:rsid w:val="60483AFC"/>
    <w:rsid w:val="61356EB8"/>
    <w:rsid w:val="616102D8"/>
    <w:rsid w:val="616A451F"/>
    <w:rsid w:val="63403AA9"/>
    <w:rsid w:val="634E16F7"/>
    <w:rsid w:val="636501F0"/>
    <w:rsid w:val="63B76FCF"/>
    <w:rsid w:val="63F87F34"/>
    <w:rsid w:val="6457046C"/>
    <w:rsid w:val="64601022"/>
    <w:rsid w:val="64727E39"/>
    <w:rsid w:val="652C7475"/>
    <w:rsid w:val="6532355A"/>
    <w:rsid w:val="654E74BF"/>
    <w:rsid w:val="656F0478"/>
    <w:rsid w:val="65705524"/>
    <w:rsid w:val="65815C5F"/>
    <w:rsid w:val="65F0705D"/>
    <w:rsid w:val="66975E82"/>
    <w:rsid w:val="66D11E68"/>
    <w:rsid w:val="6793565D"/>
    <w:rsid w:val="68B735CD"/>
    <w:rsid w:val="692C40A6"/>
    <w:rsid w:val="694F68B8"/>
    <w:rsid w:val="69D60D28"/>
    <w:rsid w:val="69E12176"/>
    <w:rsid w:val="6BB04074"/>
    <w:rsid w:val="6BFD39ED"/>
    <w:rsid w:val="6C1B1E38"/>
    <w:rsid w:val="6C1F1AB4"/>
    <w:rsid w:val="6C747565"/>
    <w:rsid w:val="6CD375AD"/>
    <w:rsid w:val="6D2E0255"/>
    <w:rsid w:val="6D5D5725"/>
    <w:rsid w:val="6D7777CF"/>
    <w:rsid w:val="6D837F22"/>
    <w:rsid w:val="6DC57796"/>
    <w:rsid w:val="6DCC7B1B"/>
    <w:rsid w:val="6DF055C3"/>
    <w:rsid w:val="6E143F29"/>
    <w:rsid w:val="6E31701D"/>
    <w:rsid w:val="6E955218"/>
    <w:rsid w:val="6F294BA1"/>
    <w:rsid w:val="6FF6379C"/>
    <w:rsid w:val="7025554B"/>
    <w:rsid w:val="7026010C"/>
    <w:rsid w:val="715C339F"/>
    <w:rsid w:val="715C7F8B"/>
    <w:rsid w:val="71A722EA"/>
    <w:rsid w:val="71AA6D66"/>
    <w:rsid w:val="71BB4D66"/>
    <w:rsid w:val="72200A3B"/>
    <w:rsid w:val="72734A09"/>
    <w:rsid w:val="72A05A0D"/>
    <w:rsid w:val="733C169C"/>
    <w:rsid w:val="73683E42"/>
    <w:rsid w:val="73A6496A"/>
    <w:rsid w:val="73BB5AFC"/>
    <w:rsid w:val="740C1303"/>
    <w:rsid w:val="744B4938"/>
    <w:rsid w:val="744C1C28"/>
    <w:rsid w:val="75482501"/>
    <w:rsid w:val="7610431D"/>
    <w:rsid w:val="763149BF"/>
    <w:rsid w:val="764345DA"/>
    <w:rsid w:val="76A74712"/>
    <w:rsid w:val="76C41747"/>
    <w:rsid w:val="7744390B"/>
    <w:rsid w:val="779223F2"/>
    <w:rsid w:val="77A614B1"/>
    <w:rsid w:val="781520BE"/>
    <w:rsid w:val="787504E2"/>
    <w:rsid w:val="78A020E6"/>
    <w:rsid w:val="78B01A02"/>
    <w:rsid w:val="78E76349"/>
    <w:rsid w:val="79346574"/>
    <w:rsid w:val="795C3ECE"/>
    <w:rsid w:val="795F30C5"/>
    <w:rsid w:val="796E5F2A"/>
    <w:rsid w:val="7979397C"/>
    <w:rsid w:val="7A3B66B5"/>
    <w:rsid w:val="7B460F06"/>
    <w:rsid w:val="7B46342D"/>
    <w:rsid w:val="7B75406A"/>
    <w:rsid w:val="7BF62A6B"/>
    <w:rsid w:val="7BF72207"/>
    <w:rsid w:val="7C1B35FE"/>
    <w:rsid w:val="7C1F53F1"/>
    <w:rsid w:val="7CB177CB"/>
    <w:rsid w:val="7CE309DD"/>
    <w:rsid w:val="7D0710EE"/>
    <w:rsid w:val="7D2D51FD"/>
    <w:rsid w:val="7D6E474B"/>
    <w:rsid w:val="7DE81FDD"/>
    <w:rsid w:val="7E0230E5"/>
    <w:rsid w:val="7E337914"/>
    <w:rsid w:val="7E541BD8"/>
    <w:rsid w:val="7E552988"/>
    <w:rsid w:val="7E696CC0"/>
    <w:rsid w:val="7E843B73"/>
    <w:rsid w:val="7F1B620C"/>
    <w:rsid w:val="7F271055"/>
    <w:rsid w:val="7FA352AD"/>
    <w:rsid w:val="7FC6199B"/>
    <w:rsid w:val="7FCE1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4</Pages>
  <Words>2670</Words>
  <Characters>2733</Characters>
  <Lines>55</Lines>
  <Paragraphs>15</Paragraphs>
  <TotalTime>2</TotalTime>
  <ScaleCrop>false</ScaleCrop>
  <LinksUpToDate>false</LinksUpToDate>
  <CharactersWithSpaces>3159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2025-03-18T10:48:12Z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F524F2DEC5F94442B82C0FB1FC415C5D_13</vt:lpwstr>
  </property>
</Properties>
</file>