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3AC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hint="eastAsia" w:ascii="Times New Roman" w:hAnsi="Times New Roman" w:eastAsia="宋体" w:cs="Times New Roman"/>
          <w:lang w:eastAsia="zh-CN"/>
        </w:rPr>
      </w:pPr>
      <w:r>
        <w:rPr>
          <w:rFonts w:hint="eastAsia" w:ascii="Times New Roman" w:hAnsi="Times New Roman" w:cs="Times New Roman"/>
          <w:b/>
          <w:kern w:val="0"/>
          <w:sz w:val="36"/>
          <w:szCs w:val="36"/>
          <w:lang w:val="en-US" w:eastAsia="zh-CN" w:bidi="ar-SA"/>
        </w:rPr>
        <w:drawing>
          <wp:anchor distT="0" distB="0" distL="114300" distR="114300" simplePos="0" relativeHeight="251659264" behindDoc="0" locked="0" layoutInCell="1" allowOverlap="1">
            <wp:simplePos x="0" y="0"/>
            <wp:positionH relativeFrom="page">
              <wp:posOffset>12369800</wp:posOffset>
            </wp:positionH>
            <wp:positionV relativeFrom="topMargin">
              <wp:posOffset>11950700</wp:posOffset>
            </wp:positionV>
            <wp:extent cx="482600" cy="330200"/>
            <wp:effectExtent l="0" t="0" r="0" b="0"/>
            <wp:wrapNone/>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图片 100102"/>
                    <pic:cNvPicPr>
                      <a:picLocks noChangeAspect="1"/>
                    </pic:cNvPicPr>
                  </pic:nvPicPr>
                  <pic:blipFill>
                    <a:blip r:embed="rId6"/>
                    <a:stretch>
                      <a:fillRect/>
                    </a:stretch>
                  </pic:blipFill>
                  <pic:spPr>
                    <a:xfrm>
                      <a:off x="0" y="0"/>
                      <a:ext cx="482600" cy="3302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四</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0288"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 xml:space="preserve"> 国际合作</w:t>
      </w:r>
    </w:p>
    <w:p w14:paraId="2FE1840A">
      <w:pPr>
        <w:keepNext w:val="0"/>
        <w:keepLines w:val="0"/>
        <w:pageBreakBefore w:val="0"/>
        <w:widowControl w:val="0"/>
        <w:kinsoku/>
        <w:wordWrap/>
        <w:overflowPunct/>
        <w:topLinePunct w:val="0"/>
        <w:autoSpaceDE/>
        <w:autoSpaceDN/>
        <w:bidi w:val="0"/>
        <w:adjustRightInd/>
        <w:snapToGrid/>
        <w:spacing w:line="360" w:lineRule="auto"/>
        <w:jc w:val="both"/>
        <w:rPr>
          <w:rFonts w:hint="default" w:ascii="Times New Roman" w:hAnsi="Times New Roman" w:eastAsia="宋体" w:cs="Times New Roman"/>
          <w:lang w:val="en-US" w:eastAsia="zh-CN"/>
        </w:rPr>
      </w:pPr>
      <w:r>
        <w:rPr>
          <w:rFonts w:hint="eastAsia" w:cs="Times New Roman"/>
          <w:lang w:val="en-US" w:eastAsia="zh-CN"/>
        </w:rPr>
        <w:t>一、选择题。</w:t>
      </w:r>
    </w:p>
    <w:p w14:paraId="6B377366">
      <w:pPr>
        <w:shd w:val="clear" w:color="auto" w:fill="auto"/>
        <w:spacing w:line="360" w:lineRule="auto"/>
        <w:ind w:firstLine="560"/>
        <w:jc w:val="left"/>
        <w:textAlignment w:val="center"/>
      </w:pPr>
      <w:r>
        <w:rPr>
          <w:rFonts w:ascii="楷体" w:hAnsi="楷体" w:eastAsia="楷体" w:cs="楷体"/>
        </w:rPr>
        <w:t>葡萄喜光，适宜种植范围广泛，其品质直接影响葡萄酒的品质。在格鲁吉亚境内有三处葡萄主产区：卡赫季地区、卡尔特里地区、伊梅列季地区。当地传统酿酒方式属于世界非物质文化遗产，习惯用一种深埋在地下的大陶罐（用黏土烧制的器物）来发酵葡萄。完成下面小题。</w:t>
      </w:r>
    </w:p>
    <w:p w14:paraId="3151FCF3">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152015" cy="1466850"/>
            <wp:effectExtent l="0" t="0" r="635" b="0"/>
            <wp:docPr id="100003" name="图片 100003" descr="@@@415ff480107c4cfe9629305a905048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415ff480107c4cfe9629305a9050480f"/>
                    <pic:cNvPicPr>
                      <a:picLocks noChangeAspect="1"/>
                    </pic:cNvPicPr>
                  </pic:nvPicPr>
                  <pic:blipFill>
                    <a:blip r:embed="rId8"/>
                    <a:stretch>
                      <a:fillRect/>
                    </a:stretch>
                  </pic:blipFill>
                  <pic:spPr>
                    <a:xfrm>
                      <a:off x="0" y="0"/>
                      <a:ext cx="2152015" cy="1466850"/>
                    </a:xfrm>
                    <a:prstGeom prst="rect">
                      <a:avLst/>
                    </a:prstGeom>
                  </pic:spPr>
                </pic:pic>
              </a:graphicData>
            </a:graphic>
          </wp:inline>
        </w:drawing>
      </w:r>
    </w:p>
    <w:p w14:paraId="22926F90">
      <w:pPr>
        <w:shd w:val="clear" w:color="auto" w:fill="auto"/>
        <w:spacing w:line="360" w:lineRule="auto"/>
        <w:jc w:val="left"/>
        <w:textAlignment w:val="center"/>
      </w:pPr>
      <w:r>
        <w:t>1．卡赫季地区是格鲁吉亚境内葡萄酒品质最佳产区的原因（</w:t>
      </w:r>
      <w:r>
        <w:rPr>
          <w:rFonts w:ascii="Times New Roman" w:hAnsi="Times New Roman" w:eastAsia="Times New Roman" w:cs="Times New Roman"/>
          <w:kern w:val="0"/>
          <w:sz w:val="24"/>
          <w:szCs w:val="24"/>
        </w:rPr>
        <w:t>   </w:t>
      </w:r>
      <w:r>
        <w:t>）</w:t>
      </w:r>
    </w:p>
    <w:p w14:paraId="01D25546">
      <w:pPr>
        <w:shd w:val="clear" w:color="auto" w:fill="auto"/>
        <w:tabs>
          <w:tab w:val="left" w:pos="4156"/>
        </w:tabs>
        <w:spacing w:line="360" w:lineRule="auto"/>
        <w:ind w:left="300"/>
        <w:jc w:val="left"/>
        <w:textAlignment w:val="center"/>
      </w:pPr>
      <w:r>
        <w:t>A．昼夜温差更大</w:t>
      </w:r>
      <w:r>
        <w:tab/>
      </w:r>
      <w:r>
        <w:t>B．云雾天气偏多</w:t>
      </w:r>
    </w:p>
    <w:p w14:paraId="2389D1D9">
      <w:pPr>
        <w:shd w:val="clear" w:color="auto" w:fill="auto"/>
        <w:tabs>
          <w:tab w:val="left" w:pos="4156"/>
        </w:tabs>
        <w:spacing w:line="360" w:lineRule="auto"/>
        <w:ind w:left="300"/>
        <w:jc w:val="left"/>
        <w:textAlignment w:val="center"/>
      </w:pPr>
      <w:r>
        <w:t>C．生长周期较长</w:t>
      </w:r>
      <w:r>
        <w:tab/>
      </w:r>
      <w:r>
        <w:t>D．酿酒工艺先进</w:t>
      </w:r>
    </w:p>
    <w:p w14:paraId="0D1366A3">
      <w:pPr>
        <w:shd w:val="clear" w:color="auto" w:fill="auto"/>
        <w:spacing w:line="360" w:lineRule="auto"/>
        <w:jc w:val="left"/>
        <w:textAlignment w:val="center"/>
      </w:pPr>
      <w:r>
        <w:t>2．格鲁吉亚人采用深埋在地下的大陶罐来发酵葡萄的原因（</w:t>
      </w:r>
      <w:r>
        <w:rPr>
          <w:rFonts w:ascii="Times New Roman" w:hAnsi="Times New Roman" w:eastAsia="Times New Roman" w:cs="Times New Roman"/>
          <w:kern w:val="0"/>
          <w:sz w:val="24"/>
          <w:szCs w:val="24"/>
        </w:rPr>
        <w:t>   </w:t>
      </w:r>
      <w:r>
        <w:t>）</w:t>
      </w:r>
    </w:p>
    <w:p w14:paraId="137021E3">
      <w:pPr>
        <w:shd w:val="clear" w:color="auto" w:fill="auto"/>
        <w:spacing w:line="360" w:lineRule="auto"/>
        <w:jc w:val="left"/>
        <w:textAlignment w:val="center"/>
      </w:pPr>
      <w:r>
        <w:t>①稳定发酵过程②温度较为稳定</w:t>
      </w:r>
    </w:p>
    <w:p w14:paraId="4CC6E0A8">
      <w:pPr>
        <w:shd w:val="clear" w:color="auto" w:fill="auto"/>
        <w:spacing w:line="360" w:lineRule="auto"/>
        <w:jc w:val="left"/>
        <w:textAlignment w:val="center"/>
      </w:pPr>
      <w:r>
        <w:t>③陶罐透气较差④缺少现代工艺</w:t>
      </w:r>
    </w:p>
    <w:p w14:paraId="2874E27A">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D．③④</w:t>
      </w:r>
    </w:p>
    <w:p w14:paraId="3DE93CEC">
      <w:pPr>
        <w:shd w:val="clear" w:color="auto" w:fill="auto"/>
        <w:spacing w:line="360" w:lineRule="auto"/>
        <w:jc w:val="left"/>
        <w:textAlignment w:val="center"/>
      </w:pPr>
      <w:r>
        <w:t>3．“一带一路”建设直接影响格鲁吉亚葡萄酒在中国的（</w:t>
      </w:r>
      <w:r>
        <w:rPr>
          <w:rFonts w:ascii="Times New Roman" w:hAnsi="Times New Roman" w:eastAsia="Times New Roman" w:cs="Times New Roman"/>
          <w:kern w:val="0"/>
          <w:sz w:val="24"/>
          <w:szCs w:val="24"/>
        </w:rPr>
        <w:t>   </w:t>
      </w:r>
      <w:r>
        <w:t>）</w:t>
      </w:r>
    </w:p>
    <w:p w14:paraId="72C5E168">
      <w:pPr>
        <w:shd w:val="clear" w:color="auto" w:fill="auto"/>
        <w:tabs>
          <w:tab w:val="left" w:pos="4156"/>
        </w:tabs>
        <w:spacing w:line="360" w:lineRule="auto"/>
        <w:ind w:left="300"/>
        <w:jc w:val="left"/>
        <w:textAlignment w:val="center"/>
      </w:pPr>
      <w:r>
        <w:t>A．销售价格上涨</w:t>
      </w:r>
      <w:r>
        <w:tab/>
      </w:r>
      <w:r>
        <w:t>B．品牌影响提升</w:t>
      </w:r>
    </w:p>
    <w:p w14:paraId="5FACBFB5">
      <w:pPr>
        <w:shd w:val="clear" w:color="auto" w:fill="auto"/>
        <w:tabs>
          <w:tab w:val="left" w:pos="4156"/>
        </w:tabs>
        <w:spacing w:line="360" w:lineRule="auto"/>
        <w:ind w:left="300"/>
        <w:jc w:val="left"/>
        <w:textAlignment w:val="center"/>
      </w:pPr>
      <w:r>
        <w:t>C．市场规模萎缩</w:t>
      </w:r>
      <w:r>
        <w:tab/>
      </w:r>
      <w:r>
        <w:t>D．产品质量下降</w:t>
      </w:r>
    </w:p>
    <w:p w14:paraId="45CBCC05">
      <w:pPr>
        <w:shd w:val="clear" w:color="auto" w:fill="auto"/>
        <w:spacing w:line="360" w:lineRule="auto"/>
        <w:ind w:firstLine="560"/>
        <w:jc w:val="left"/>
        <w:textAlignment w:val="center"/>
      </w:pPr>
      <w:r>
        <w:rPr>
          <w:rFonts w:ascii="楷体" w:hAnsi="楷体" w:eastAsia="楷体" w:cs="楷体"/>
        </w:rPr>
        <w:t>“一带一路”是“丝绸之路经济带”和“</w:t>
      </w:r>
      <w:r>
        <w:t>21</w:t>
      </w:r>
      <w:r>
        <w:rPr>
          <w:rFonts w:ascii="楷体" w:hAnsi="楷体" w:eastAsia="楷体" w:cs="楷体"/>
        </w:rPr>
        <w:t>世纪海上丝绸之路”的简称。丝绸之路经济带，东边牵着亚太经济圈，西边系着欧洲经济圈，被认为是“世界最长、最具发展潜力的经济大走廊”。图为“一带一路”示意图，依据材料，结合所学知识，完成下面小题。</w:t>
      </w:r>
    </w:p>
    <w:p w14:paraId="750C62FB">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175000" cy="1616075"/>
            <wp:effectExtent l="0" t="0" r="0" b="9525"/>
            <wp:docPr id="100005" name="图片 100005" descr="@@@bab10543-0072-46d3-b0b4-cff8ba486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ab10543-0072-46d3-b0b4-cff8ba48604b"/>
                    <pic:cNvPicPr>
                      <a:picLocks noChangeAspect="1"/>
                    </pic:cNvPicPr>
                  </pic:nvPicPr>
                  <pic:blipFill>
                    <a:blip r:embed="rId9"/>
                    <a:stretch>
                      <a:fillRect/>
                    </a:stretch>
                  </pic:blipFill>
                  <pic:spPr>
                    <a:xfrm>
                      <a:off x="0" y="0"/>
                      <a:ext cx="3175000" cy="1616075"/>
                    </a:xfrm>
                    <a:prstGeom prst="rect">
                      <a:avLst/>
                    </a:prstGeom>
                  </pic:spPr>
                </pic:pic>
              </a:graphicData>
            </a:graphic>
          </wp:inline>
        </w:drawing>
      </w:r>
    </w:p>
    <w:p w14:paraId="34E9DB18">
      <w:pPr>
        <w:shd w:val="clear" w:color="auto" w:fill="auto"/>
        <w:spacing w:line="360" w:lineRule="auto"/>
        <w:jc w:val="left"/>
        <w:textAlignment w:val="center"/>
      </w:pPr>
      <w:r>
        <w:t>4．中国古代的商船航行于海上丝绸之路时，下列描述正确的是（</w:t>
      </w:r>
      <w:r>
        <w:rPr>
          <w:rFonts w:ascii="Times New Roman" w:hAnsi="Times New Roman" w:eastAsia="Times New Roman" w:cs="Times New Roman"/>
          <w:kern w:val="0"/>
          <w:sz w:val="24"/>
          <w:szCs w:val="24"/>
        </w:rPr>
        <w:t>   </w:t>
      </w:r>
      <w:r>
        <w:t>）</w:t>
      </w:r>
    </w:p>
    <w:p w14:paraId="51EFB99A">
      <w:pPr>
        <w:shd w:val="clear" w:color="auto" w:fill="auto"/>
        <w:spacing w:line="360" w:lineRule="auto"/>
        <w:ind w:left="300"/>
        <w:jc w:val="left"/>
        <w:textAlignment w:val="center"/>
      </w:pPr>
      <w:r>
        <w:t>A．商船一般选择夏季从中国南方沿海地区出发，冬季从非洲东部沿海地区返回</w:t>
      </w:r>
    </w:p>
    <w:p w14:paraId="74998019">
      <w:pPr>
        <w:shd w:val="clear" w:color="auto" w:fill="auto"/>
        <w:spacing w:line="360" w:lineRule="auto"/>
        <w:ind w:left="300"/>
        <w:jc w:val="left"/>
        <w:textAlignment w:val="center"/>
      </w:pPr>
      <w:r>
        <w:t>B．冬季航行到索马里附近海域时发现此处水温较低，且海面上有大量的捕鱼的渔船</w:t>
      </w:r>
    </w:p>
    <w:p w14:paraId="48FAD89B">
      <w:pPr>
        <w:shd w:val="clear" w:color="auto" w:fill="auto"/>
        <w:spacing w:line="360" w:lineRule="auto"/>
        <w:ind w:left="300"/>
        <w:jc w:val="left"/>
        <w:textAlignment w:val="center"/>
      </w:pPr>
      <w:r>
        <w:t>C．当商船顺风由中国广州南下到河内时，发现当地正午日影位于北方</w:t>
      </w:r>
    </w:p>
    <w:p w14:paraId="5D3DD78E">
      <w:pPr>
        <w:shd w:val="clear" w:color="auto" w:fill="auto"/>
        <w:spacing w:line="360" w:lineRule="auto"/>
        <w:ind w:left="300"/>
        <w:jc w:val="left"/>
        <w:textAlignment w:val="center"/>
      </w:pPr>
      <w:r>
        <w:t>D．返航时途经科伦坡时，可以大量购置苹果，带回国内</w:t>
      </w:r>
    </w:p>
    <w:p w14:paraId="585D7354">
      <w:pPr>
        <w:shd w:val="clear" w:color="auto" w:fill="auto"/>
        <w:spacing w:line="360" w:lineRule="auto"/>
        <w:jc w:val="left"/>
        <w:textAlignment w:val="center"/>
      </w:pPr>
      <w:r>
        <w:t>5．随着“一带一路”倡议的实施，下列关于沿线国家和地区发生的变化可信的是（</w:t>
      </w:r>
      <w:r>
        <w:rPr>
          <w:rFonts w:ascii="Times New Roman" w:hAnsi="Times New Roman" w:eastAsia="Times New Roman" w:cs="Times New Roman"/>
          <w:kern w:val="0"/>
          <w:sz w:val="24"/>
          <w:szCs w:val="24"/>
        </w:rPr>
        <w:t>   </w:t>
      </w:r>
      <w:r>
        <w:t>）</w:t>
      </w:r>
    </w:p>
    <w:p w14:paraId="64C5EE21">
      <w:pPr>
        <w:shd w:val="clear" w:color="auto" w:fill="auto"/>
        <w:spacing w:line="360" w:lineRule="auto"/>
        <w:jc w:val="left"/>
        <w:textAlignment w:val="center"/>
      </w:pPr>
      <w:r>
        <w:t>①资源开发力度减小，环境污染和生态破坏的范围可能缩小</w:t>
      </w:r>
    </w:p>
    <w:p w14:paraId="45C28C36">
      <w:pPr>
        <w:shd w:val="clear" w:color="auto" w:fill="auto"/>
        <w:spacing w:line="360" w:lineRule="auto"/>
        <w:jc w:val="left"/>
        <w:textAlignment w:val="center"/>
      </w:pPr>
      <w:r>
        <w:t>②非洲国家通过提供大量资金、技术等方式参与“一带一路”建设</w:t>
      </w:r>
    </w:p>
    <w:p w14:paraId="7E44504E">
      <w:pPr>
        <w:shd w:val="clear" w:color="auto" w:fill="auto"/>
        <w:spacing w:line="360" w:lineRule="auto"/>
        <w:jc w:val="left"/>
        <w:textAlignment w:val="center"/>
      </w:pPr>
      <w:r>
        <w:t>③产业向沿海港口及国际铁路沿线、边境口岸等地区集聚</w:t>
      </w:r>
    </w:p>
    <w:p w14:paraId="65537F92">
      <w:pPr>
        <w:shd w:val="clear" w:color="auto" w:fill="auto"/>
        <w:spacing w:line="360" w:lineRule="auto"/>
        <w:jc w:val="left"/>
        <w:textAlignment w:val="center"/>
      </w:pPr>
      <w:r>
        <w:t>④基础设施投资增多，高速公路、铁路、港口、航空等交通运输系统更完善</w:t>
      </w:r>
    </w:p>
    <w:p w14:paraId="0DE25661">
      <w:pPr>
        <w:shd w:val="clear" w:color="auto" w:fill="auto"/>
        <w:tabs>
          <w:tab w:val="left" w:pos="2078"/>
          <w:tab w:val="left" w:pos="4156"/>
          <w:tab w:val="left" w:pos="6234"/>
        </w:tabs>
        <w:spacing w:line="360" w:lineRule="auto"/>
        <w:ind w:left="300"/>
        <w:jc w:val="left"/>
        <w:textAlignment w:val="center"/>
      </w:pPr>
      <w:r>
        <w:t>A．①②</w:t>
      </w:r>
      <w:r>
        <w:tab/>
      </w:r>
      <w:r>
        <w:t>B．③④</w:t>
      </w:r>
      <w:r>
        <w:tab/>
      </w:r>
      <w:r>
        <w:t>C．②③</w:t>
      </w:r>
      <w:r>
        <w:tab/>
      </w:r>
      <w:r>
        <w:t>D．①④</w:t>
      </w:r>
    </w:p>
    <w:p w14:paraId="52716171">
      <w:pPr>
        <w:shd w:val="clear" w:color="auto" w:fill="auto"/>
        <w:spacing w:line="360" w:lineRule="auto"/>
        <w:ind w:firstLine="560"/>
        <w:jc w:val="left"/>
        <w:textAlignment w:val="center"/>
      </w:pPr>
      <w:r>
        <w:rPr>
          <w:rFonts w:ascii="楷体" w:hAnsi="楷体" w:eastAsia="楷体" w:cs="楷体"/>
        </w:rPr>
        <w:t>浙江</w:t>
      </w:r>
      <w:r>
        <w:t>J</w:t>
      </w:r>
      <w:r>
        <w:rPr>
          <w:rFonts w:ascii="楷体" w:hAnsi="楷体" w:eastAsia="楷体" w:cs="楷体"/>
        </w:rPr>
        <w:t>汽车集团所产汽车性价比高，出口量大，是中国自主汽车品牌“走向国际”的领头羊。近年来，该集团先后收购或入股多家海外知名汽车企业。</w:t>
      </w:r>
      <w:r>
        <w:t>J</w:t>
      </w:r>
      <w:r>
        <w:rPr>
          <w:rFonts w:ascii="楷体" w:hAnsi="楷体" w:eastAsia="楷体" w:cs="楷体"/>
        </w:rPr>
        <w:t>汽车集团收购</w:t>
      </w:r>
      <w:r>
        <w:t>W</w:t>
      </w:r>
      <w:r>
        <w:rPr>
          <w:rFonts w:ascii="楷体" w:hAnsi="楷体" w:eastAsia="楷体" w:cs="楷体"/>
        </w:rPr>
        <w:t>汽车企业后仍保留</w:t>
      </w:r>
      <w:r>
        <w:t>W</w:t>
      </w:r>
      <w:r>
        <w:rPr>
          <w:rFonts w:ascii="楷体" w:hAnsi="楷体" w:eastAsia="楷体" w:cs="楷体"/>
        </w:rPr>
        <w:t>品牌、生产技术和面向中高端市场的品牌定位。完成下面小题。</w:t>
      </w:r>
    </w:p>
    <w:p w14:paraId="61CD1C70">
      <w:pPr>
        <w:shd w:val="clear" w:color="auto" w:fill="auto"/>
        <w:spacing w:line="360" w:lineRule="auto"/>
        <w:jc w:val="left"/>
        <w:textAlignment w:val="center"/>
      </w:pPr>
      <w:r>
        <w:t>6．收购或入股海外知名汽车企业给J集团带来的影响是（</w:t>
      </w:r>
      <w:r>
        <w:rPr>
          <w:rFonts w:ascii="Times New Roman" w:hAnsi="Times New Roman" w:eastAsia="Times New Roman" w:cs="Times New Roman"/>
          <w:kern w:val="0"/>
          <w:sz w:val="24"/>
          <w:szCs w:val="24"/>
        </w:rPr>
        <w:t>   </w:t>
      </w:r>
      <w:r>
        <w:t>）</w:t>
      </w:r>
    </w:p>
    <w:p w14:paraId="6AF4BB6B">
      <w:pPr>
        <w:shd w:val="clear" w:color="auto" w:fill="auto"/>
        <w:spacing w:line="360" w:lineRule="auto"/>
        <w:jc w:val="left"/>
        <w:textAlignment w:val="center"/>
      </w:pPr>
      <w:r>
        <w:t>①国际市场扩大②运输成本降低</w:t>
      </w:r>
    </w:p>
    <w:p w14:paraId="22792DB2">
      <w:pPr>
        <w:shd w:val="clear" w:color="auto" w:fill="auto"/>
        <w:spacing w:line="360" w:lineRule="auto"/>
        <w:jc w:val="left"/>
        <w:textAlignment w:val="center"/>
      </w:pPr>
      <w:r>
        <w:t>③产业链条延长④研发成本降低</w:t>
      </w:r>
    </w:p>
    <w:p w14:paraId="5108CDD5">
      <w:pPr>
        <w:shd w:val="clear" w:color="auto" w:fill="auto"/>
        <w:tabs>
          <w:tab w:val="left" w:pos="2078"/>
          <w:tab w:val="left" w:pos="4156"/>
          <w:tab w:val="left" w:pos="6234"/>
        </w:tabs>
        <w:spacing w:line="360" w:lineRule="auto"/>
        <w:ind w:left="300"/>
        <w:jc w:val="left"/>
        <w:textAlignment w:val="center"/>
      </w:pPr>
      <w:r>
        <w:t>A．①②</w:t>
      </w:r>
      <w:r>
        <w:tab/>
      </w:r>
      <w:r>
        <w:t>B．②③</w:t>
      </w:r>
      <w:r>
        <w:tab/>
      </w:r>
      <w:r>
        <w:t>C．①④</w:t>
      </w:r>
      <w:r>
        <w:tab/>
      </w:r>
      <w:r>
        <w:t>D．③④</w:t>
      </w:r>
    </w:p>
    <w:p w14:paraId="7002D3E5">
      <w:pPr>
        <w:shd w:val="clear" w:color="auto" w:fill="auto"/>
        <w:spacing w:line="360" w:lineRule="auto"/>
        <w:jc w:val="left"/>
        <w:textAlignment w:val="center"/>
      </w:pPr>
      <w:r>
        <w:t>7．J汽车集团收购W企业后仍保留W品牌定位的目的是（</w:t>
      </w:r>
      <w:r>
        <w:rPr>
          <w:rFonts w:ascii="Times New Roman" w:hAnsi="Times New Roman" w:eastAsia="Times New Roman" w:cs="Times New Roman"/>
          <w:kern w:val="0"/>
          <w:sz w:val="24"/>
          <w:szCs w:val="24"/>
        </w:rPr>
        <w:t>   </w:t>
      </w:r>
      <w:r>
        <w:t>）</w:t>
      </w:r>
    </w:p>
    <w:p w14:paraId="1B09C431">
      <w:pPr>
        <w:shd w:val="clear" w:color="auto" w:fill="auto"/>
        <w:tabs>
          <w:tab w:val="left" w:pos="4156"/>
        </w:tabs>
        <w:spacing w:line="360" w:lineRule="auto"/>
        <w:ind w:left="300"/>
        <w:jc w:val="left"/>
        <w:textAlignment w:val="center"/>
      </w:pPr>
      <w:r>
        <w:t>A．降低生产成本</w:t>
      </w:r>
      <w:r>
        <w:tab/>
      </w:r>
      <w:r>
        <w:t>B．维持原有目标群体</w:t>
      </w:r>
    </w:p>
    <w:p w14:paraId="6A45207B">
      <w:pPr>
        <w:shd w:val="clear" w:color="auto" w:fill="auto"/>
        <w:tabs>
          <w:tab w:val="left" w:pos="4156"/>
        </w:tabs>
        <w:spacing w:line="360" w:lineRule="auto"/>
        <w:ind w:left="300"/>
        <w:jc w:val="left"/>
        <w:textAlignment w:val="center"/>
      </w:pPr>
      <w:r>
        <w:t>C．扩大产品销量</w:t>
      </w:r>
      <w:r>
        <w:tab/>
      </w:r>
      <w:r>
        <w:t>D．避免和J汽车竞争</w:t>
      </w:r>
    </w:p>
    <w:p w14:paraId="7B15E4A8">
      <w:pPr>
        <w:shd w:val="clear" w:color="auto" w:fill="auto"/>
        <w:spacing w:line="360" w:lineRule="auto"/>
        <w:ind w:firstLine="560"/>
        <w:jc w:val="left"/>
        <w:textAlignment w:val="center"/>
      </w:pPr>
      <w:r>
        <w:rPr>
          <w:rFonts w:ascii="楷体" w:hAnsi="楷体" w:eastAsia="楷体" w:cs="楷体"/>
        </w:rPr>
        <w:t>2022年10月19日，马来西亚东海岸铁路（下文简称“马东铁路”）迎来新突破，2.8公里长的关丹隧道实现贯通。“马东铁路”是中国和马来西亚“一带一路”倡议的旗舰项目，也是中国企业海外在建的最大单体交通基础设施项目，规划总长688千米，总投资约853亿元，该铁路将贯穿马来半岛的东西两岸。读图完成下面小题。</w:t>
      </w:r>
    </w:p>
    <w:p w14:paraId="7AA639E4">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571750" cy="1303655"/>
            <wp:effectExtent l="0" t="0" r="6350" b="4445"/>
            <wp:docPr id="100007" name="图片 100007" descr="@@@51a68549-a629-4d07-94cf-497924528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1a68549-a629-4d07-94cf-4979245285cb"/>
                    <pic:cNvPicPr>
                      <a:picLocks noChangeAspect="1"/>
                    </pic:cNvPicPr>
                  </pic:nvPicPr>
                  <pic:blipFill>
                    <a:blip r:embed="rId10"/>
                    <a:stretch>
                      <a:fillRect/>
                    </a:stretch>
                  </pic:blipFill>
                  <pic:spPr>
                    <a:xfrm>
                      <a:off x="0" y="0"/>
                      <a:ext cx="2571750" cy="1303655"/>
                    </a:xfrm>
                    <a:prstGeom prst="rect">
                      <a:avLst/>
                    </a:prstGeom>
                  </pic:spPr>
                </pic:pic>
              </a:graphicData>
            </a:graphic>
          </wp:inline>
        </w:drawing>
      </w:r>
    </w:p>
    <w:p w14:paraId="617865BE">
      <w:pPr>
        <w:shd w:val="clear" w:color="auto" w:fill="auto"/>
        <w:spacing w:line="360" w:lineRule="auto"/>
        <w:jc w:val="left"/>
        <w:textAlignment w:val="center"/>
      </w:pPr>
      <w:r>
        <w:t>8．“马东铁路”建成后，受影响最大的国家是（</w:t>
      </w:r>
      <w:r>
        <w:rPr>
          <w:rFonts w:ascii="Times New Roman" w:hAnsi="Times New Roman" w:eastAsia="Times New Roman" w:cs="Times New Roman"/>
          <w:kern w:val="0"/>
          <w:sz w:val="24"/>
          <w:szCs w:val="24"/>
        </w:rPr>
        <w:t>   </w:t>
      </w:r>
      <w:r>
        <w:t>）</w:t>
      </w:r>
    </w:p>
    <w:p w14:paraId="1E02074A">
      <w:pPr>
        <w:shd w:val="clear" w:color="auto" w:fill="auto"/>
        <w:tabs>
          <w:tab w:val="left" w:pos="2078"/>
          <w:tab w:val="left" w:pos="4156"/>
          <w:tab w:val="left" w:pos="6234"/>
        </w:tabs>
        <w:spacing w:line="360" w:lineRule="auto"/>
        <w:ind w:left="300"/>
        <w:jc w:val="left"/>
        <w:textAlignment w:val="center"/>
      </w:pPr>
      <w:r>
        <w:t>A．埃及</w:t>
      </w:r>
      <w:r>
        <w:tab/>
      </w:r>
      <w:r>
        <w:t>B．新加坡</w:t>
      </w:r>
      <w:r>
        <w:tab/>
      </w:r>
      <w:r>
        <w:t>C．南非</w:t>
      </w:r>
      <w:r>
        <w:tab/>
      </w:r>
      <w:r>
        <w:t>D．巴拿马</w:t>
      </w:r>
    </w:p>
    <w:p w14:paraId="37CDDC8F">
      <w:pPr>
        <w:shd w:val="clear" w:color="auto" w:fill="auto"/>
        <w:spacing w:line="360" w:lineRule="auto"/>
        <w:jc w:val="left"/>
        <w:textAlignment w:val="center"/>
      </w:pPr>
      <w:r>
        <w:t>9．修建“马东铁路”最可能导致沿线出现（</w:t>
      </w:r>
      <w:r>
        <w:rPr>
          <w:rFonts w:ascii="Times New Roman" w:hAnsi="Times New Roman" w:eastAsia="Times New Roman" w:cs="Times New Roman"/>
          <w:kern w:val="0"/>
          <w:sz w:val="24"/>
          <w:szCs w:val="24"/>
        </w:rPr>
        <w:t>   </w:t>
      </w:r>
      <w:r>
        <w:t>）</w:t>
      </w:r>
    </w:p>
    <w:p w14:paraId="1416703E">
      <w:pPr>
        <w:shd w:val="clear" w:color="auto" w:fill="auto"/>
        <w:tabs>
          <w:tab w:val="left" w:pos="2078"/>
          <w:tab w:val="left" w:pos="4156"/>
          <w:tab w:val="left" w:pos="6234"/>
        </w:tabs>
        <w:spacing w:line="360" w:lineRule="auto"/>
        <w:ind w:left="300"/>
        <w:jc w:val="left"/>
        <w:textAlignment w:val="center"/>
      </w:pPr>
      <w:r>
        <w:t>A．水土流失</w:t>
      </w:r>
      <w:r>
        <w:tab/>
      </w:r>
      <w:r>
        <w:t>B．土地荒漠化</w:t>
      </w:r>
      <w:r>
        <w:tab/>
      </w:r>
      <w:r>
        <w:t>C．湿地减少</w:t>
      </w:r>
      <w:r>
        <w:tab/>
      </w:r>
      <w:r>
        <w:t>D．生物多样性受损</w:t>
      </w:r>
    </w:p>
    <w:p w14:paraId="09AACAE1">
      <w:pPr>
        <w:shd w:val="clear" w:color="auto" w:fill="auto"/>
        <w:spacing w:line="360" w:lineRule="auto"/>
        <w:jc w:val="left"/>
        <w:textAlignment w:val="center"/>
      </w:pPr>
      <w:r>
        <w:t>10．“一带一路”倡议可以充分利用（</w:t>
      </w:r>
      <w:r>
        <w:rPr>
          <w:rFonts w:ascii="Times New Roman" w:hAnsi="Times New Roman" w:eastAsia="Times New Roman" w:cs="Times New Roman"/>
          <w:kern w:val="0"/>
          <w:sz w:val="24"/>
          <w:szCs w:val="24"/>
        </w:rPr>
        <w:t>   </w:t>
      </w:r>
      <w:r>
        <w:t>）</w:t>
      </w:r>
    </w:p>
    <w:p w14:paraId="54BE2C02">
      <w:pPr>
        <w:shd w:val="clear" w:color="auto" w:fill="auto"/>
        <w:tabs>
          <w:tab w:val="left" w:pos="4156"/>
        </w:tabs>
        <w:spacing w:line="360" w:lineRule="auto"/>
        <w:ind w:left="380"/>
        <w:jc w:val="left"/>
        <w:textAlignment w:val="center"/>
      </w:pPr>
      <w:r>
        <w:t>A．西方发达国家拥有的技术优势</w:t>
      </w:r>
      <w:r>
        <w:tab/>
      </w:r>
      <w:r>
        <w:t>B．欧美、日本等发达国家的销售市场</w:t>
      </w:r>
    </w:p>
    <w:p w14:paraId="6690BA8C">
      <w:pPr>
        <w:shd w:val="clear" w:color="auto" w:fill="auto"/>
        <w:tabs>
          <w:tab w:val="left" w:pos="4156"/>
        </w:tabs>
        <w:spacing w:line="360" w:lineRule="auto"/>
        <w:ind w:left="380"/>
        <w:jc w:val="left"/>
        <w:textAlignment w:val="center"/>
      </w:pPr>
      <w:r>
        <w:t>C．沿线国家拥有巨大的资源潜力</w:t>
      </w:r>
      <w:r>
        <w:tab/>
      </w:r>
      <w:r>
        <w:t>D．中国的资金优势以及基础设施建设强项</w:t>
      </w:r>
    </w:p>
    <w:p w14:paraId="3A963F7C">
      <w:pPr>
        <w:shd w:val="clear" w:color="auto" w:fill="auto"/>
        <w:spacing w:line="360" w:lineRule="auto"/>
        <w:ind w:firstLine="420"/>
        <w:jc w:val="left"/>
        <w:textAlignment w:val="center"/>
      </w:pPr>
      <w:r>
        <w:rPr>
          <w:rFonts w:ascii="楷体" w:hAnsi="楷体" w:eastAsia="楷体" w:cs="楷体"/>
        </w:rPr>
        <w:t>地缘能权主要包括资源控制权、贸易控制权、技术控制权和资本控制权等。资源控制权主要表现为资源的储量、产量和开采成本的控制，贸易控制权本质是相关进出口国家在能源利益博弈中的话语权，资本控制权通过国有企业的并购能力和企业规模来衡量，技术控制权主要涉及技术进步提高能源利用效率、降低开发成本和推动能源转型。下图示意2001—2020年“一带一路”沿线国家地缘能权水平格局演变，据此完成下面小题。</w:t>
      </w:r>
    </w:p>
    <w:p w14:paraId="0F0F8576">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978275" cy="1321435"/>
            <wp:effectExtent l="0" t="0" r="9525" b="12065"/>
            <wp:docPr id="100009" name="图片 100009" descr="@@@0b7840494a0e4b61adececd7be14e9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0b7840494a0e4b61adececd7be14e91e"/>
                    <pic:cNvPicPr>
                      <a:picLocks noChangeAspect="1"/>
                    </pic:cNvPicPr>
                  </pic:nvPicPr>
                  <pic:blipFill>
                    <a:blip r:embed="rId11"/>
                    <a:stretch>
                      <a:fillRect/>
                    </a:stretch>
                  </pic:blipFill>
                  <pic:spPr>
                    <a:xfrm>
                      <a:off x="0" y="0"/>
                      <a:ext cx="3978275" cy="1321435"/>
                    </a:xfrm>
                    <a:prstGeom prst="rect">
                      <a:avLst/>
                    </a:prstGeom>
                  </pic:spPr>
                </pic:pic>
              </a:graphicData>
            </a:graphic>
          </wp:inline>
        </w:drawing>
      </w:r>
    </w:p>
    <w:p w14:paraId="081B71B3">
      <w:pPr>
        <w:shd w:val="clear" w:color="auto" w:fill="auto"/>
        <w:spacing w:line="360" w:lineRule="auto"/>
        <w:jc w:val="left"/>
        <w:textAlignment w:val="center"/>
      </w:pPr>
      <w:r>
        <w:t>11．“一带一路”沿线国家地缘能权水平时空格局演变的特点是（</w:t>
      </w:r>
      <w:r>
        <w:rPr>
          <w:rFonts w:ascii="Times New Roman" w:hAnsi="Times New Roman" w:eastAsia="Times New Roman" w:cs="Times New Roman"/>
          <w:kern w:val="0"/>
          <w:sz w:val="24"/>
          <w:szCs w:val="24"/>
        </w:rPr>
        <w:t>   </w:t>
      </w:r>
      <w:r>
        <w:t>）</w:t>
      </w:r>
    </w:p>
    <w:p w14:paraId="642B1B08">
      <w:pPr>
        <w:shd w:val="clear" w:color="auto" w:fill="auto"/>
        <w:spacing w:line="360" w:lineRule="auto"/>
        <w:ind w:left="380"/>
        <w:jc w:val="left"/>
        <w:textAlignment w:val="center"/>
      </w:pPr>
      <w:r>
        <w:t>A．2001—2005年，呈现出以中国和荷兰为主导的双核心空间分布格局</w:t>
      </w:r>
    </w:p>
    <w:p w14:paraId="546034F9">
      <w:pPr>
        <w:shd w:val="clear" w:color="auto" w:fill="auto"/>
        <w:spacing w:line="360" w:lineRule="auto"/>
        <w:ind w:left="380"/>
        <w:jc w:val="left"/>
        <w:textAlignment w:val="center"/>
      </w:pPr>
      <w:r>
        <w:t>B．2006—2010年，呈现出以俄罗斯、蒙古和沙特阿拉伯为主导的“三足鼎立”格局</w:t>
      </w:r>
    </w:p>
    <w:p w14:paraId="0805E53A">
      <w:pPr>
        <w:shd w:val="clear" w:color="auto" w:fill="auto"/>
        <w:spacing w:line="360" w:lineRule="auto"/>
        <w:ind w:left="380"/>
        <w:jc w:val="left"/>
        <w:textAlignment w:val="center"/>
      </w:pPr>
      <w:r>
        <w:t>C．2011—2015年，呈现出以俄罗斯、沙特阿拉伯为主导的双核心空间分布格局</w:t>
      </w:r>
    </w:p>
    <w:p w14:paraId="062B8FD4">
      <w:pPr>
        <w:shd w:val="clear" w:color="auto" w:fill="auto"/>
        <w:spacing w:line="360" w:lineRule="auto"/>
        <w:ind w:left="380"/>
        <w:jc w:val="left"/>
        <w:textAlignment w:val="center"/>
      </w:pPr>
      <w:r>
        <w:t>D．2016—2020年，呈现出以俄罗斯、中国和沙特阿拉伯为主导的“三足鼎立”格局</w:t>
      </w:r>
    </w:p>
    <w:p w14:paraId="5A127E24">
      <w:pPr>
        <w:shd w:val="clear" w:color="auto" w:fill="auto"/>
        <w:spacing w:line="360" w:lineRule="auto"/>
        <w:jc w:val="left"/>
        <w:textAlignment w:val="center"/>
      </w:pPr>
      <w:r>
        <w:t>12．欧洲部分国家地缘能权下降的根本原因是（</w:t>
      </w:r>
      <w:r>
        <w:rPr>
          <w:rFonts w:ascii="Times New Roman" w:hAnsi="Times New Roman" w:eastAsia="Times New Roman" w:cs="Times New Roman"/>
          <w:kern w:val="0"/>
          <w:sz w:val="24"/>
          <w:szCs w:val="24"/>
        </w:rPr>
        <w:t>   </w:t>
      </w:r>
      <w:r>
        <w:t>）</w:t>
      </w:r>
    </w:p>
    <w:p w14:paraId="2DD54534">
      <w:pPr>
        <w:shd w:val="clear" w:color="auto" w:fill="auto"/>
        <w:tabs>
          <w:tab w:val="left" w:pos="4156"/>
        </w:tabs>
        <w:spacing w:line="360" w:lineRule="auto"/>
        <w:ind w:left="380"/>
        <w:jc w:val="left"/>
        <w:textAlignment w:val="center"/>
      </w:pPr>
      <w:r>
        <w:t>A．能源对外依赖度高</w:t>
      </w:r>
      <w:r>
        <w:tab/>
      </w:r>
      <w:r>
        <w:t>B．国内能源市场需求量小</w:t>
      </w:r>
    </w:p>
    <w:p w14:paraId="6772588A">
      <w:pPr>
        <w:shd w:val="clear" w:color="auto" w:fill="auto"/>
        <w:tabs>
          <w:tab w:val="left" w:pos="4156"/>
        </w:tabs>
        <w:spacing w:line="360" w:lineRule="auto"/>
        <w:ind w:left="380"/>
        <w:jc w:val="left"/>
        <w:textAlignment w:val="center"/>
      </w:pPr>
      <w:r>
        <w:t>C．能源企业的竞争力较弱</w:t>
      </w:r>
      <w:r>
        <w:tab/>
      </w:r>
      <w:r>
        <w:t>D．能源开采技术停滞不前</w:t>
      </w:r>
    </w:p>
    <w:p w14:paraId="1F23B26A">
      <w:pPr>
        <w:shd w:val="clear" w:color="auto" w:fill="auto"/>
        <w:spacing w:line="360" w:lineRule="auto"/>
        <w:jc w:val="left"/>
        <w:textAlignment w:val="center"/>
      </w:pPr>
      <w:r>
        <w:t>13．中国加强地缘能权的主要措施有（</w:t>
      </w:r>
      <w:r>
        <w:rPr>
          <w:rFonts w:ascii="Times New Roman" w:hAnsi="Times New Roman" w:eastAsia="Times New Roman" w:cs="Times New Roman"/>
          <w:kern w:val="0"/>
          <w:sz w:val="24"/>
          <w:szCs w:val="24"/>
        </w:rPr>
        <w:t>   </w:t>
      </w:r>
      <w:r>
        <w:t>）</w:t>
      </w:r>
    </w:p>
    <w:p w14:paraId="1CB174BB">
      <w:pPr>
        <w:shd w:val="clear" w:color="auto" w:fill="auto"/>
        <w:spacing w:line="360" w:lineRule="auto"/>
        <w:jc w:val="left"/>
        <w:textAlignment w:val="center"/>
      </w:pPr>
      <w:r>
        <w:t>①限制外资进入②加快能源企业“走出去”③提高碳减排技术④建立能源安全主体间的单边关系</w:t>
      </w:r>
    </w:p>
    <w:p w14:paraId="7FAA889F">
      <w:pPr>
        <w:shd w:val="clear" w:color="auto" w:fill="auto"/>
        <w:tabs>
          <w:tab w:val="left" w:pos="2078"/>
          <w:tab w:val="left" w:pos="4156"/>
          <w:tab w:val="left" w:pos="6234"/>
        </w:tabs>
        <w:spacing w:line="360" w:lineRule="auto"/>
        <w:ind w:left="380"/>
        <w:jc w:val="left"/>
        <w:textAlignment w:val="center"/>
      </w:pPr>
      <w:r>
        <w:t>A．①②</w:t>
      </w:r>
      <w:r>
        <w:tab/>
      </w:r>
      <w:r>
        <w:t>B．③④</w:t>
      </w:r>
      <w:r>
        <w:tab/>
      </w:r>
      <w:r>
        <w:t>C．②③</w:t>
      </w:r>
      <w:r>
        <w:tab/>
      </w:r>
      <w:r>
        <w:t>D．①④</w:t>
      </w:r>
    </w:p>
    <w:p w14:paraId="2F2FDE31">
      <w:pPr>
        <w:shd w:val="clear" w:color="auto" w:fill="auto"/>
        <w:spacing w:line="360" w:lineRule="auto"/>
        <w:ind w:firstLine="420"/>
        <w:jc w:val="left"/>
        <w:textAlignment w:val="center"/>
      </w:pPr>
      <w:r>
        <w:rPr>
          <w:rFonts w:ascii="楷体" w:hAnsi="楷体" w:eastAsia="楷体" w:cs="楷体"/>
        </w:rPr>
        <w:t>2019年8月19日至21日，博鳌亚洲论坛乌兰巴托会议在蒙古国隆重召开。与会代表一致认为，经济全球化是不可逆转的时代潮流。据此完成下面小题。</w:t>
      </w:r>
    </w:p>
    <w:p w14:paraId="15C10436">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041525" cy="908685"/>
            <wp:effectExtent l="0" t="0" r="3175" b="5715"/>
            <wp:docPr id="100011" name="图片 100011" descr="@@@34540dbc0eb04034acdf56920583f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4540dbc0eb04034acdf56920583fc42"/>
                    <pic:cNvPicPr>
                      <a:picLocks noChangeAspect="1"/>
                    </pic:cNvPicPr>
                  </pic:nvPicPr>
                  <pic:blipFill>
                    <a:blip r:embed="rId12"/>
                    <a:stretch>
                      <a:fillRect/>
                    </a:stretch>
                  </pic:blipFill>
                  <pic:spPr>
                    <a:xfrm>
                      <a:off x="0" y="0"/>
                      <a:ext cx="2041525" cy="908685"/>
                    </a:xfrm>
                    <a:prstGeom prst="rect">
                      <a:avLst/>
                    </a:prstGeom>
                  </pic:spPr>
                </pic:pic>
              </a:graphicData>
            </a:graphic>
          </wp:inline>
        </w:drawing>
      </w:r>
    </w:p>
    <w:p w14:paraId="0F8B9AAF">
      <w:pPr>
        <w:shd w:val="clear" w:color="auto" w:fill="auto"/>
        <w:spacing w:line="360" w:lineRule="auto"/>
        <w:jc w:val="left"/>
        <w:textAlignment w:val="center"/>
      </w:pPr>
      <w:r>
        <w:t>14．经济全球化使得一些国家成为新兴经济体，下列国家属于新兴经济体国家的是（</w:t>
      </w:r>
      <w:r>
        <w:rPr>
          <w:rFonts w:ascii="Times New Roman" w:hAnsi="Times New Roman" w:eastAsia="Times New Roman" w:cs="Times New Roman"/>
          <w:kern w:val="0"/>
          <w:sz w:val="24"/>
          <w:szCs w:val="24"/>
        </w:rPr>
        <w:t>   </w:t>
      </w:r>
      <w:r>
        <w:t>）</w:t>
      </w:r>
    </w:p>
    <w:p w14:paraId="18E837AF">
      <w:pPr>
        <w:shd w:val="clear" w:color="auto" w:fill="auto"/>
        <w:tabs>
          <w:tab w:val="left" w:pos="2078"/>
          <w:tab w:val="left" w:pos="4156"/>
          <w:tab w:val="left" w:pos="6234"/>
        </w:tabs>
        <w:spacing w:line="360" w:lineRule="auto"/>
        <w:ind w:left="380"/>
        <w:jc w:val="left"/>
        <w:textAlignment w:val="center"/>
      </w:pPr>
      <w:r>
        <w:t>A．英国</w:t>
      </w:r>
      <w:r>
        <w:tab/>
      </w:r>
      <w:r>
        <w:t>B．孟加拉国</w:t>
      </w:r>
      <w:r>
        <w:tab/>
      </w:r>
      <w:r>
        <w:t>C．巴西</w:t>
      </w:r>
      <w:r>
        <w:tab/>
      </w:r>
      <w:r>
        <w:t>D．比利时</w:t>
      </w:r>
    </w:p>
    <w:p w14:paraId="1C5F5B1B">
      <w:pPr>
        <w:shd w:val="clear" w:color="auto" w:fill="auto"/>
        <w:spacing w:line="360" w:lineRule="auto"/>
        <w:jc w:val="left"/>
        <w:textAlignment w:val="center"/>
      </w:pPr>
      <w:r>
        <w:t>15．关于经济全球化的叙述，正确的是（</w:t>
      </w:r>
      <w:r>
        <w:rPr>
          <w:rFonts w:ascii="Times New Roman" w:hAnsi="Times New Roman" w:eastAsia="Times New Roman" w:cs="Times New Roman"/>
          <w:kern w:val="0"/>
          <w:sz w:val="24"/>
          <w:szCs w:val="24"/>
        </w:rPr>
        <w:t>   </w:t>
      </w:r>
      <w:r>
        <w:t>）</w:t>
      </w:r>
    </w:p>
    <w:p w14:paraId="5697987A">
      <w:pPr>
        <w:shd w:val="clear" w:color="auto" w:fill="auto"/>
        <w:spacing w:line="360" w:lineRule="auto"/>
        <w:ind w:left="380"/>
        <w:jc w:val="left"/>
        <w:textAlignment w:val="center"/>
      </w:pPr>
      <w:r>
        <w:t>A．经济全球化指世界各国的经济均衡发展</w:t>
      </w:r>
    </w:p>
    <w:p w14:paraId="6FE64C0D">
      <w:pPr>
        <w:shd w:val="clear" w:color="auto" w:fill="auto"/>
        <w:spacing w:line="360" w:lineRule="auto"/>
        <w:ind w:left="380"/>
        <w:jc w:val="left"/>
        <w:textAlignment w:val="center"/>
      </w:pPr>
      <w:r>
        <w:t>B．经济全球化使南北差距缩小</w:t>
      </w:r>
    </w:p>
    <w:p w14:paraId="44833B0E">
      <w:pPr>
        <w:shd w:val="clear" w:color="auto" w:fill="auto"/>
        <w:spacing w:line="360" w:lineRule="auto"/>
        <w:ind w:left="380"/>
        <w:jc w:val="left"/>
        <w:textAlignment w:val="center"/>
      </w:pPr>
      <w:r>
        <w:t>C．发达国家主导世界贸易和国际金融市场，是经济全球化的最大受益者</w:t>
      </w:r>
    </w:p>
    <w:p w14:paraId="051EF642">
      <w:pPr>
        <w:shd w:val="clear" w:color="auto" w:fill="auto"/>
        <w:spacing w:line="360" w:lineRule="auto"/>
        <w:ind w:left="380"/>
        <w:jc w:val="left"/>
        <w:textAlignment w:val="center"/>
      </w:pPr>
      <w:r>
        <w:t>D．发展中国家从发达国家引进资金和技术，是经济全球化的最大受益者</w:t>
      </w:r>
    </w:p>
    <w:p w14:paraId="181F623F">
      <w:pPr>
        <w:shd w:val="clear" w:color="auto" w:fill="auto"/>
        <w:spacing w:line="360" w:lineRule="auto"/>
        <w:jc w:val="left"/>
        <w:textAlignment w:val="center"/>
        <w:rPr>
          <w:rFonts w:hint="default" w:eastAsia="宋体"/>
          <w:lang w:val="en-US" w:eastAsia="zh-CN"/>
        </w:rPr>
      </w:pPr>
      <w:r>
        <w:rPr>
          <w:rFonts w:hint="eastAsia"/>
          <w:lang w:val="en-US" w:eastAsia="zh-CN"/>
        </w:rPr>
        <w:t>二、非选择题。</w:t>
      </w:r>
      <w:bookmarkStart w:id="0" w:name="_GoBack"/>
      <w:bookmarkEnd w:id="0"/>
    </w:p>
    <w:p w14:paraId="547225C8">
      <w:pPr>
        <w:shd w:val="clear" w:color="auto" w:fill="auto"/>
        <w:spacing w:line="360" w:lineRule="auto"/>
        <w:jc w:val="left"/>
        <w:textAlignment w:val="center"/>
      </w:pPr>
      <w:r>
        <w:t>16．阅读图文材料，完成下列问题。</w:t>
      </w:r>
    </w:p>
    <w:p w14:paraId="0AB99F0B">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626995" cy="1476375"/>
            <wp:effectExtent l="0" t="0" r="1905" b="9525"/>
            <wp:docPr id="100017" name="图片 100017" descr="@@@1d7aba24-69a0-46d8-8df4-467dffcd3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1d7aba24-69a0-46d8-8df4-467dffcd3cbd"/>
                    <pic:cNvPicPr>
                      <a:picLocks noChangeAspect="1"/>
                    </pic:cNvPicPr>
                  </pic:nvPicPr>
                  <pic:blipFill>
                    <a:blip r:embed="rId13"/>
                    <a:stretch>
                      <a:fillRect/>
                    </a:stretch>
                  </pic:blipFill>
                  <pic:spPr>
                    <a:xfrm>
                      <a:off x="0" y="0"/>
                      <a:ext cx="2626995" cy="1476375"/>
                    </a:xfrm>
                    <a:prstGeom prst="rect">
                      <a:avLst/>
                    </a:prstGeom>
                  </pic:spPr>
                </pic:pic>
              </a:graphicData>
            </a:graphic>
          </wp:inline>
        </w:drawing>
      </w:r>
    </w:p>
    <w:p w14:paraId="41C2DBC8">
      <w:pPr>
        <w:shd w:val="clear" w:color="auto" w:fill="auto"/>
        <w:spacing w:line="360" w:lineRule="auto"/>
        <w:ind w:firstLine="420"/>
        <w:jc w:val="left"/>
        <w:textAlignment w:val="center"/>
      </w:pPr>
      <w:r>
        <w:rPr>
          <w:rFonts w:ascii="楷体" w:hAnsi="楷体" w:eastAsia="楷体" w:cs="楷体"/>
        </w:rPr>
        <w:t>中欧班列是指往返于中国与欧洲及一带一路沿线各国的集装箱国际铁路联运班列。铺划了西中东3条通道中欧班列运行线：西部通道由我国中西部经阿拉山口（霍尔果斯）出境，中部通道由我国华北地区经二连浩特出境，东部通道由我国东南部沿海地区经满洲里（绥芬河）出境。</w:t>
      </w:r>
    </w:p>
    <w:p w14:paraId="65111792">
      <w:pPr>
        <w:shd w:val="clear" w:color="auto" w:fill="auto"/>
        <w:spacing w:line="360" w:lineRule="auto"/>
        <w:ind w:firstLine="420"/>
        <w:jc w:val="left"/>
        <w:textAlignment w:val="center"/>
      </w:pPr>
      <w:r>
        <w:rPr>
          <w:rFonts w:ascii="楷体" w:hAnsi="楷体" w:eastAsia="楷体" w:cs="楷体"/>
        </w:rPr>
        <w:t>截止2018年6月底，中欧班列累计开行量已突破9000列，运送货物近80万标箱，国内开行城市48个，到达欧洲14个国家、42个城市，运输网络覆盖亚欧大陆的主要城市。下为中欧班列线路示意图。</w:t>
      </w:r>
    </w:p>
    <w:p w14:paraId="3DD230FB">
      <w:pPr>
        <w:shd w:val="clear" w:color="auto" w:fill="auto"/>
        <w:spacing w:line="360" w:lineRule="auto"/>
        <w:jc w:val="left"/>
        <w:textAlignment w:val="center"/>
      </w:pPr>
      <w:r>
        <w:t>(1)中国与西欧地区的货物运输主要有海动、空运和陆路铁路运输三种运输方式。简述与海运相比，中欧班列的突出优点。</w:t>
      </w:r>
    </w:p>
    <w:p w14:paraId="641E59AD">
      <w:pPr>
        <w:shd w:val="clear" w:color="auto" w:fill="auto"/>
        <w:spacing w:line="360" w:lineRule="auto"/>
        <w:jc w:val="left"/>
        <w:textAlignment w:val="center"/>
      </w:pPr>
    </w:p>
    <w:p w14:paraId="1FDAAC11">
      <w:pPr>
        <w:shd w:val="clear" w:color="auto" w:fill="auto"/>
        <w:spacing w:line="360" w:lineRule="auto"/>
        <w:jc w:val="left"/>
        <w:textAlignment w:val="center"/>
      </w:pPr>
      <w:r>
        <w:t>(2)分析中欧班列停靠城市多集中在欧洲的原因。</w:t>
      </w:r>
    </w:p>
    <w:p w14:paraId="411002F1">
      <w:pPr>
        <w:shd w:val="clear" w:color="auto" w:fill="auto"/>
        <w:spacing w:line="360" w:lineRule="auto"/>
        <w:jc w:val="left"/>
        <w:textAlignment w:val="center"/>
      </w:pPr>
    </w:p>
    <w:p w14:paraId="0D6032F2">
      <w:pPr>
        <w:shd w:val="clear" w:color="auto" w:fill="auto"/>
        <w:spacing w:line="360" w:lineRule="auto"/>
        <w:jc w:val="left"/>
        <w:textAlignment w:val="center"/>
      </w:pPr>
      <w:r>
        <w:t>(3)简述中欧班列的开通对沿线区域发展的意义。</w:t>
      </w:r>
    </w:p>
    <w:p w14:paraId="1861CB28">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宋体" w:cs="Times New Roman"/>
        </w:rPr>
      </w:pPr>
    </w:p>
    <w:sectPr>
      <w:headerReference r:id="rId3" w:type="default"/>
      <w:footerReference r:id="rId4" w:type="default"/>
      <w:pgSz w:w="11906" w:h="16838"/>
      <w:pgMar w:top="141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39B4">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C1D29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2EC1D29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2D7F">
    <w:pPr>
      <w:pStyle w:val="9"/>
      <w:pBdr>
        <w:bottom w:val="none" w:color="auto" w:sz="0" w:space="0"/>
      </w:pBdr>
      <w:tabs>
        <w:tab w:val="clear" w:pos="4153"/>
      </w:tabs>
    </w:pPr>
  </w:p>
  <w:p w14:paraId="1D6C2CB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N2FjZTcxYTEwMzA1NDE0NWZjNmZiZTJhY2E0OGQ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2610ED"/>
    <w:rsid w:val="014D4677"/>
    <w:rsid w:val="01F114A6"/>
    <w:rsid w:val="02050EBC"/>
    <w:rsid w:val="025829A1"/>
    <w:rsid w:val="027F6AB2"/>
    <w:rsid w:val="02924A37"/>
    <w:rsid w:val="03016D8D"/>
    <w:rsid w:val="03373831"/>
    <w:rsid w:val="03D026B7"/>
    <w:rsid w:val="04B2205A"/>
    <w:rsid w:val="05002624"/>
    <w:rsid w:val="05382A9D"/>
    <w:rsid w:val="05740424"/>
    <w:rsid w:val="057E7745"/>
    <w:rsid w:val="05860887"/>
    <w:rsid w:val="05AF2A40"/>
    <w:rsid w:val="05C81319"/>
    <w:rsid w:val="05D943E7"/>
    <w:rsid w:val="064E336B"/>
    <w:rsid w:val="06AE1934"/>
    <w:rsid w:val="0772095E"/>
    <w:rsid w:val="07B431C0"/>
    <w:rsid w:val="07DE050E"/>
    <w:rsid w:val="083D3AF0"/>
    <w:rsid w:val="084340E8"/>
    <w:rsid w:val="088D24DE"/>
    <w:rsid w:val="08E22032"/>
    <w:rsid w:val="09430104"/>
    <w:rsid w:val="09977789"/>
    <w:rsid w:val="09B552FC"/>
    <w:rsid w:val="0A0E5F8B"/>
    <w:rsid w:val="0A7D7468"/>
    <w:rsid w:val="0AB17A25"/>
    <w:rsid w:val="0AF825E7"/>
    <w:rsid w:val="0B722321"/>
    <w:rsid w:val="0CA912FB"/>
    <w:rsid w:val="0D285D49"/>
    <w:rsid w:val="0E15242D"/>
    <w:rsid w:val="0E67321C"/>
    <w:rsid w:val="0EAE0D1A"/>
    <w:rsid w:val="0EDF70F3"/>
    <w:rsid w:val="0F4A0448"/>
    <w:rsid w:val="0F8D4DAC"/>
    <w:rsid w:val="100F27BF"/>
    <w:rsid w:val="106E1B51"/>
    <w:rsid w:val="10C36704"/>
    <w:rsid w:val="11B90BA4"/>
    <w:rsid w:val="11D97A8E"/>
    <w:rsid w:val="123E18E0"/>
    <w:rsid w:val="12AF174C"/>
    <w:rsid w:val="132165D7"/>
    <w:rsid w:val="13464C4C"/>
    <w:rsid w:val="13763F01"/>
    <w:rsid w:val="13BF07CD"/>
    <w:rsid w:val="14422F5D"/>
    <w:rsid w:val="14425B55"/>
    <w:rsid w:val="145F6743"/>
    <w:rsid w:val="15196249"/>
    <w:rsid w:val="163A3999"/>
    <w:rsid w:val="164D0E65"/>
    <w:rsid w:val="16810304"/>
    <w:rsid w:val="16EA5024"/>
    <w:rsid w:val="17712A16"/>
    <w:rsid w:val="18752DBF"/>
    <w:rsid w:val="19BD36E3"/>
    <w:rsid w:val="1A004525"/>
    <w:rsid w:val="1A1E6252"/>
    <w:rsid w:val="1A954C6D"/>
    <w:rsid w:val="1D0E51AB"/>
    <w:rsid w:val="1DE57CB9"/>
    <w:rsid w:val="1E253381"/>
    <w:rsid w:val="1E5C08B8"/>
    <w:rsid w:val="1F6B0692"/>
    <w:rsid w:val="1F795554"/>
    <w:rsid w:val="1FC504A4"/>
    <w:rsid w:val="20683767"/>
    <w:rsid w:val="20C12EE1"/>
    <w:rsid w:val="22947786"/>
    <w:rsid w:val="22D12A8E"/>
    <w:rsid w:val="231D565B"/>
    <w:rsid w:val="23533809"/>
    <w:rsid w:val="23A015CF"/>
    <w:rsid w:val="23A8571A"/>
    <w:rsid w:val="23E12CD1"/>
    <w:rsid w:val="24F911FE"/>
    <w:rsid w:val="251D7CD6"/>
    <w:rsid w:val="25274927"/>
    <w:rsid w:val="256F2F84"/>
    <w:rsid w:val="25E50807"/>
    <w:rsid w:val="25E66CC5"/>
    <w:rsid w:val="25F24CDE"/>
    <w:rsid w:val="28235FAE"/>
    <w:rsid w:val="289160F1"/>
    <w:rsid w:val="28E163FE"/>
    <w:rsid w:val="29910CF5"/>
    <w:rsid w:val="29BC2488"/>
    <w:rsid w:val="2A8713DC"/>
    <w:rsid w:val="2AC56CC9"/>
    <w:rsid w:val="2B2A1401"/>
    <w:rsid w:val="2B89773A"/>
    <w:rsid w:val="2C067D8A"/>
    <w:rsid w:val="2DB94CBF"/>
    <w:rsid w:val="2E24417A"/>
    <w:rsid w:val="2EA01444"/>
    <w:rsid w:val="2FF52EA4"/>
    <w:rsid w:val="306C426A"/>
    <w:rsid w:val="30B11E3E"/>
    <w:rsid w:val="32607DFF"/>
    <w:rsid w:val="326E42CA"/>
    <w:rsid w:val="328B00E0"/>
    <w:rsid w:val="32D44FC8"/>
    <w:rsid w:val="32DE59A4"/>
    <w:rsid w:val="335C021F"/>
    <w:rsid w:val="33B914A9"/>
    <w:rsid w:val="34612EE6"/>
    <w:rsid w:val="34784B02"/>
    <w:rsid w:val="348E0C53"/>
    <w:rsid w:val="360325C6"/>
    <w:rsid w:val="364517E5"/>
    <w:rsid w:val="3666141D"/>
    <w:rsid w:val="367D0F7F"/>
    <w:rsid w:val="36D0536B"/>
    <w:rsid w:val="3732588E"/>
    <w:rsid w:val="377A1C07"/>
    <w:rsid w:val="37B0702F"/>
    <w:rsid w:val="37E6636C"/>
    <w:rsid w:val="382E19DC"/>
    <w:rsid w:val="384E20AD"/>
    <w:rsid w:val="38673286"/>
    <w:rsid w:val="3995213C"/>
    <w:rsid w:val="39CB4AB6"/>
    <w:rsid w:val="39E027F5"/>
    <w:rsid w:val="3A8E4966"/>
    <w:rsid w:val="3B6645DA"/>
    <w:rsid w:val="3C1934F8"/>
    <w:rsid w:val="3C2123AD"/>
    <w:rsid w:val="3C504A40"/>
    <w:rsid w:val="3D226279"/>
    <w:rsid w:val="3D515E10"/>
    <w:rsid w:val="3DA64985"/>
    <w:rsid w:val="3E03620E"/>
    <w:rsid w:val="3E272866"/>
    <w:rsid w:val="3EA97E3E"/>
    <w:rsid w:val="3EC6550E"/>
    <w:rsid w:val="3ED61844"/>
    <w:rsid w:val="3EDD5562"/>
    <w:rsid w:val="3EF10ADF"/>
    <w:rsid w:val="40744FF3"/>
    <w:rsid w:val="42221763"/>
    <w:rsid w:val="42334BE8"/>
    <w:rsid w:val="425925FB"/>
    <w:rsid w:val="428D1224"/>
    <w:rsid w:val="42E552AE"/>
    <w:rsid w:val="43234C5C"/>
    <w:rsid w:val="438A4CDB"/>
    <w:rsid w:val="43BD5CC6"/>
    <w:rsid w:val="43F37075"/>
    <w:rsid w:val="44676E58"/>
    <w:rsid w:val="44775DE2"/>
    <w:rsid w:val="45136199"/>
    <w:rsid w:val="45B93656"/>
    <w:rsid w:val="460912BA"/>
    <w:rsid w:val="465A6BE7"/>
    <w:rsid w:val="46AB65B2"/>
    <w:rsid w:val="46BA58D8"/>
    <w:rsid w:val="478437FF"/>
    <w:rsid w:val="48CE7418"/>
    <w:rsid w:val="48F77700"/>
    <w:rsid w:val="4A201189"/>
    <w:rsid w:val="4A237CA2"/>
    <w:rsid w:val="4AC469A4"/>
    <w:rsid w:val="4B306168"/>
    <w:rsid w:val="4C3F7486"/>
    <w:rsid w:val="4C92608E"/>
    <w:rsid w:val="4D3C3BE1"/>
    <w:rsid w:val="4E502C1F"/>
    <w:rsid w:val="4EED7375"/>
    <w:rsid w:val="4F1B16A7"/>
    <w:rsid w:val="4F282B03"/>
    <w:rsid w:val="4FD03A76"/>
    <w:rsid w:val="4FD41318"/>
    <w:rsid w:val="50047B62"/>
    <w:rsid w:val="50095543"/>
    <w:rsid w:val="506D39BB"/>
    <w:rsid w:val="50A85454"/>
    <w:rsid w:val="50AD51A8"/>
    <w:rsid w:val="50DC55E7"/>
    <w:rsid w:val="50DD3C75"/>
    <w:rsid w:val="50EF7380"/>
    <w:rsid w:val="52462783"/>
    <w:rsid w:val="52642A60"/>
    <w:rsid w:val="527252B8"/>
    <w:rsid w:val="527B3FC2"/>
    <w:rsid w:val="528E1787"/>
    <w:rsid w:val="52F42171"/>
    <w:rsid w:val="536E7341"/>
    <w:rsid w:val="538518BD"/>
    <w:rsid w:val="53B35B89"/>
    <w:rsid w:val="540713B7"/>
    <w:rsid w:val="54204E31"/>
    <w:rsid w:val="544C02E3"/>
    <w:rsid w:val="54627989"/>
    <w:rsid w:val="548E3F00"/>
    <w:rsid w:val="54A30129"/>
    <w:rsid w:val="54B2360E"/>
    <w:rsid w:val="54BC4C43"/>
    <w:rsid w:val="54BD39AF"/>
    <w:rsid w:val="54DA288A"/>
    <w:rsid w:val="54DB2368"/>
    <w:rsid w:val="553612EB"/>
    <w:rsid w:val="56A54D05"/>
    <w:rsid w:val="56B310B3"/>
    <w:rsid w:val="56EA18C1"/>
    <w:rsid w:val="57BF5BC4"/>
    <w:rsid w:val="58020E8D"/>
    <w:rsid w:val="587A61B8"/>
    <w:rsid w:val="589C77E9"/>
    <w:rsid w:val="58B1295C"/>
    <w:rsid w:val="59AC5554"/>
    <w:rsid w:val="59CF4A2E"/>
    <w:rsid w:val="59DF76D7"/>
    <w:rsid w:val="5A2D5EAF"/>
    <w:rsid w:val="5A5D6BA1"/>
    <w:rsid w:val="5A8022B1"/>
    <w:rsid w:val="5B14203F"/>
    <w:rsid w:val="5BBD399E"/>
    <w:rsid w:val="5C143B11"/>
    <w:rsid w:val="5C2C0286"/>
    <w:rsid w:val="5C2F421A"/>
    <w:rsid w:val="5C317996"/>
    <w:rsid w:val="5C6F2BEA"/>
    <w:rsid w:val="5C9408FA"/>
    <w:rsid w:val="5D047419"/>
    <w:rsid w:val="5D1458EA"/>
    <w:rsid w:val="5EAB4F91"/>
    <w:rsid w:val="5F011976"/>
    <w:rsid w:val="5F662805"/>
    <w:rsid w:val="5FE36800"/>
    <w:rsid w:val="60483AFC"/>
    <w:rsid w:val="61356EB8"/>
    <w:rsid w:val="616102D8"/>
    <w:rsid w:val="616A451F"/>
    <w:rsid w:val="634E16F7"/>
    <w:rsid w:val="636501F0"/>
    <w:rsid w:val="63A021A6"/>
    <w:rsid w:val="63B76FCF"/>
    <w:rsid w:val="6457046C"/>
    <w:rsid w:val="64601022"/>
    <w:rsid w:val="64727E39"/>
    <w:rsid w:val="652C7475"/>
    <w:rsid w:val="6532355A"/>
    <w:rsid w:val="654E74BF"/>
    <w:rsid w:val="65705524"/>
    <w:rsid w:val="65815C5F"/>
    <w:rsid w:val="65F0705D"/>
    <w:rsid w:val="66975E82"/>
    <w:rsid w:val="68B735CD"/>
    <w:rsid w:val="692C40A6"/>
    <w:rsid w:val="694F68B8"/>
    <w:rsid w:val="69D60D28"/>
    <w:rsid w:val="69E12176"/>
    <w:rsid w:val="6BB04074"/>
    <w:rsid w:val="6BFD39ED"/>
    <w:rsid w:val="6C1B1E38"/>
    <w:rsid w:val="6C1F1AB4"/>
    <w:rsid w:val="6C747565"/>
    <w:rsid w:val="6CD375AD"/>
    <w:rsid w:val="6D2E0255"/>
    <w:rsid w:val="6D7718D3"/>
    <w:rsid w:val="6D7777CF"/>
    <w:rsid w:val="6D837F22"/>
    <w:rsid w:val="6DCC7B1B"/>
    <w:rsid w:val="6E143F29"/>
    <w:rsid w:val="6E31701D"/>
    <w:rsid w:val="6E955218"/>
    <w:rsid w:val="6EE72FDC"/>
    <w:rsid w:val="6F294BA1"/>
    <w:rsid w:val="6FF6379C"/>
    <w:rsid w:val="7025554B"/>
    <w:rsid w:val="7026010C"/>
    <w:rsid w:val="71176878"/>
    <w:rsid w:val="715C339F"/>
    <w:rsid w:val="715C7F8B"/>
    <w:rsid w:val="71A722EA"/>
    <w:rsid w:val="71AA6D66"/>
    <w:rsid w:val="71BB4D66"/>
    <w:rsid w:val="72200A3B"/>
    <w:rsid w:val="72734A09"/>
    <w:rsid w:val="733C169C"/>
    <w:rsid w:val="73683E42"/>
    <w:rsid w:val="73BB5AFC"/>
    <w:rsid w:val="740C1303"/>
    <w:rsid w:val="744B4938"/>
    <w:rsid w:val="744C1C28"/>
    <w:rsid w:val="75B96CF0"/>
    <w:rsid w:val="7610431D"/>
    <w:rsid w:val="763149BF"/>
    <w:rsid w:val="764345DA"/>
    <w:rsid w:val="76A74712"/>
    <w:rsid w:val="76C41747"/>
    <w:rsid w:val="7744390B"/>
    <w:rsid w:val="779223F2"/>
    <w:rsid w:val="77A614B1"/>
    <w:rsid w:val="78482494"/>
    <w:rsid w:val="787504E2"/>
    <w:rsid w:val="78B01A02"/>
    <w:rsid w:val="78E76349"/>
    <w:rsid w:val="79346574"/>
    <w:rsid w:val="795C3ECE"/>
    <w:rsid w:val="795F30C5"/>
    <w:rsid w:val="796E5F2A"/>
    <w:rsid w:val="7A15196A"/>
    <w:rsid w:val="7A3B66B5"/>
    <w:rsid w:val="7B460F06"/>
    <w:rsid w:val="7B46342D"/>
    <w:rsid w:val="7BF62A6B"/>
    <w:rsid w:val="7BF72207"/>
    <w:rsid w:val="7C1B35FE"/>
    <w:rsid w:val="7C1F53F1"/>
    <w:rsid w:val="7C4C127B"/>
    <w:rsid w:val="7CE309DD"/>
    <w:rsid w:val="7D0710EE"/>
    <w:rsid w:val="7D2D51FD"/>
    <w:rsid w:val="7D6E474B"/>
    <w:rsid w:val="7DE81FDD"/>
    <w:rsid w:val="7E0230E5"/>
    <w:rsid w:val="7E337914"/>
    <w:rsid w:val="7E541BD8"/>
    <w:rsid w:val="7E552988"/>
    <w:rsid w:val="7E696CC0"/>
    <w:rsid w:val="7E843B73"/>
    <w:rsid w:val="7EBF6388"/>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 w:type="paragraph" w:customStyle="1" w:styleId="26">
    <w:name w:val="纯文本_0"/>
    <w:basedOn w:val="27"/>
    <w:qFormat/>
    <w:uiPriority w:val="0"/>
    <w:rPr>
      <w:rFonts w:ascii="宋体" w:hAnsi="Courier New" w:cs="Courier New"/>
      <w:szCs w:val="21"/>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4</Pages>
  <Words>1714</Words>
  <Characters>1762</Characters>
  <Lines>55</Lines>
  <Paragraphs>15</Paragraphs>
  <TotalTime>3</TotalTime>
  <ScaleCrop>false</ScaleCrop>
  <LinksUpToDate>false</LinksUpToDate>
  <CharactersWithSpaces>2057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2025-03-18T10:58:48Z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D079E0B5466B4499B0772FD742E8A39E_13</vt:lpwstr>
  </property>
</Properties>
</file>